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7688E" w14:textId="566EB039" w:rsidR="0051704F" w:rsidRPr="0051704F" w:rsidRDefault="001E1215" w:rsidP="0051704F">
      <w:pPr>
        <w:spacing w:after="0" w:line="240" w:lineRule="auto"/>
        <w:contextualSpacing/>
        <w:jc w:val="center"/>
        <w:rPr>
          <w:rFonts w:ascii="Calibri Light" w:eastAsia="Times New Roman" w:hAnsi="Calibri Light" w:cs="Times New Roman"/>
          <w:color w:val="000000"/>
          <w:sz w:val="56"/>
          <w:szCs w:val="56"/>
        </w:rPr>
      </w:pPr>
      <w:bookmarkStart w:id="0" w:name="_GoBack"/>
      <w:bookmarkEnd w:id="0"/>
      <w:r w:rsidRPr="0051704F">
        <w:rPr>
          <w:rFonts w:ascii="Calibri Light" w:eastAsia="Times New Roman" w:hAnsi="Calibri Light" w:cs="Times New Roman"/>
          <w:color w:val="000000"/>
          <w:sz w:val="56"/>
          <w:szCs w:val="56"/>
        </w:rPr>
        <w:t>ETAT DES LIEUX DE LA PARTICIPATION DES POPULATIONS AUX ELECTIONS DANS LES ZONES DE CONFLIT</w:t>
      </w:r>
    </w:p>
    <w:p w14:paraId="0612FF88" w14:textId="77777777" w:rsidR="0051704F" w:rsidRPr="0051704F" w:rsidRDefault="0051704F" w:rsidP="0051704F">
      <w:pPr>
        <w:tabs>
          <w:tab w:val="right" w:pos="8640"/>
        </w:tabs>
        <w:spacing w:after="0" w:line="480" w:lineRule="auto"/>
        <w:jc w:val="both"/>
        <w:rPr>
          <w:rFonts w:ascii="Book Antiqua" w:eastAsia="Times New Roman" w:hAnsi="Book Antiqua" w:cs="Times New Roman"/>
          <w:spacing w:val="-3"/>
          <w:sz w:val="24"/>
          <w:szCs w:val="20"/>
          <w:lang w:eastAsia="fr-FR"/>
        </w:rPr>
      </w:pPr>
    </w:p>
    <w:p w14:paraId="07A654C8" w14:textId="77777777" w:rsidR="0051704F" w:rsidRDefault="0051704F" w:rsidP="0051704F">
      <w:pPr>
        <w:tabs>
          <w:tab w:val="right" w:pos="8640"/>
        </w:tabs>
        <w:spacing w:after="0" w:line="480" w:lineRule="auto"/>
        <w:jc w:val="center"/>
        <w:rPr>
          <w:rFonts w:ascii="Book Antiqua" w:eastAsia="Times New Roman" w:hAnsi="Book Antiqua" w:cs="Times New Roman"/>
          <w:spacing w:val="-3"/>
          <w:sz w:val="24"/>
          <w:szCs w:val="20"/>
          <w:lang w:eastAsia="fr-FR"/>
        </w:rPr>
      </w:pPr>
      <w:r w:rsidRPr="0051704F">
        <w:rPr>
          <w:rFonts w:ascii="Book Antiqua" w:eastAsia="Times New Roman" w:hAnsi="Book Antiqua" w:cs="Times New Roman"/>
          <w:spacing w:val="-3"/>
          <w:sz w:val="24"/>
          <w:szCs w:val="20"/>
          <w:lang w:eastAsia="fr-FR"/>
        </w:rPr>
        <w:t xml:space="preserve">Par Amagoin KEITA, </w:t>
      </w:r>
    </w:p>
    <w:p w14:paraId="6E275F99" w14:textId="77777777" w:rsidR="0051704F" w:rsidRPr="0051704F" w:rsidRDefault="0051704F" w:rsidP="0051704F">
      <w:pPr>
        <w:tabs>
          <w:tab w:val="right" w:pos="8640"/>
        </w:tabs>
        <w:spacing w:after="0" w:line="480" w:lineRule="auto"/>
        <w:jc w:val="center"/>
        <w:rPr>
          <w:rFonts w:ascii="Book Antiqua" w:eastAsia="Times New Roman" w:hAnsi="Book Antiqua" w:cs="Times New Roman"/>
          <w:spacing w:val="-3"/>
          <w:sz w:val="24"/>
          <w:szCs w:val="20"/>
          <w:lang w:eastAsia="fr-FR"/>
        </w:rPr>
      </w:pPr>
      <w:r w:rsidRPr="0051704F">
        <w:rPr>
          <w:rFonts w:ascii="Book Antiqua" w:eastAsia="Times New Roman" w:hAnsi="Book Antiqua" w:cs="Times New Roman"/>
          <w:spacing w:val="-3"/>
          <w:sz w:val="24"/>
          <w:szCs w:val="20"/>
          <w:lang w:eastAsia="fr-FR"/>
        </w:rPr>
        <w:t>(</w:t>
      </w:r>
      <w:r>
        <w:rPr>
          <w:rFonts w:ascii="Book Antiqua" w:eastAsia="Times New Roman" w:hAnsi="Book Antiqua" w:cs="Times New Roman"/>
          <w:spacing w:val="-3"/>
          <w:sz w:val="24"/>
          <w:szCs w:val="20"/>
          <w:lang w:eastAsia="fr-FR"/>
        </w:rPr>
        <w:t>Février 2023</w:t>
      </w:r>
      <w:r w:rsidRPr="0051704F">
        <w:rPr>
          <w:rFonts w:ascii="Book Antiqua" w:eastAsia="Times New Roman" w:hAnsi="Book Antiqua" w:cs="Times New Roman"/>
          <w:spacing w:val="-3"/>
          <w:sz w:val="24"/>
          <w:szCs w:val="20"/>
          <w:lang w:eastAsia="fr-FR"/>
        </w:rPr>
        <w:t>)</w:t>
      </w:r>
    </w:p>
    <w:p w14:paraId="21E1C645" w14:textId="1CDA16A7" w:rsidR="0051704F" w:rsidRPr="0051704F" w:rsidRDefault="0051704F" w:rsidP="0051704F">
      <w:pPr>
        <w:tabs>
          <w:tab w:val="right" w:pos="8640"/>
        </w:tabs>
        <w:spacing w:after="0" w:line="480" w:lineRule="auto"/>
        <w:jc w:val="center"/>
        <w:rPr>
          <w:rFonts w:ascii="Book Antiqua" w:eastAsia="Times New Roman" w:hAnsi="Book Antiqua" w:cs="Times New Roman"/>
          <w:spacing w:val="-3"/>
          <w:sz w:val="24"/>
          <w:szCs w:val="20"/>
          <w:lang w:eastAsia="fr-FR"/>
        </w:rPr>
      </w:pPr>
      <w:r>
        <w:rPr>
          <w:rFonts w:ascii="Book Antiqua" w:eastAsia="Times New Roman" w:hAnsi="Book Antiqua" w:cs="Times New Roman"/>
          <w:spacing w:val="-3"/>
          <w:sz w:val="24"/>
          <w:szCs w:val="20"/>
          <w:lang w:eastAsia="fr-FR"/>
        </w:rPr>
        <w:t xml:space="preserve">Directeur Exécutif du </w:t>
      </w:r>
      <w:r w:rsidRPr="0051704F">
        <w:rPr>
          <w:rFonts w:ascii="Book Antiqua" w:eastAsia="Times New Roman" w:hAnsi="Book Antiqua" w:cs="Times New Roman"/>
          <w:spacing w:val="-3"/>
          <w:sz w:val="24"/>
          <w:szCs w:val="20"/>
          <w:lang w:eastAsia="fr-FR"/>
        </w:rPr>
        <w:t xml:space="preserve">Groupe ODYSSEE  </w:t>
      </w:r>
    </w:p>
    <w:p w14:paraId="653D3253" w14:textId="77777777" w:rsidR="0051704F" w:rsidRPr="0051704F" w:rsidRDefault="0051704F" w:rsidP="0051704F">
      <w:pPr>
        <w:tabs>
          <w:tab w:val="center" w:pos="4680"/>
          <w:tab w:val="right" w:pos="9360"/>
        </w:tabs>
        <w:jc w:val="center"/>
        <w:rPr>
          <w:rFonts w:ascii="Calibri" w:eastAsia="Times New Roman" w:hAnsi="Calibri" w:cs="Times New Roman"/>
          <w:lang w:val="en-US"/>
        </w:rPr>
      </w:pPr>
      <w:r w:rsidRPr="0051704F">
        <w:rPr>
          <w:rFonts w:ascii="Calibri" w:eastAsia="Times New Roman" w:hAnsi="Calibri" w:cs="Times New Roman"/>
          <w:noProof/>
          <w:lang w:eastAsia="fr-FR"/>
        </w:rPr>
        <w:drawing>
          <wp:inline distT="0" distB="0" distL="0" distR="0" wp14:anchorId="538C0B2C" wp14:editId="3E95898D">
            <wp:extent cx="1504950" cy="561975"/>
            <wp:effectExtent l="0" t="0" r="0" b="9525"/>
            <wp:docPr id="1" name="Image 16" descr="cid:CCE837B2-7DDC-4802-B7F7-635B184A3E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CE837B2-7DDC-4802-B7F7-635B184A3EF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04950" cy="561975"/>
                    </a:xfrm>
                    <a:prstGeom prst="rect">
                      <a:avLst/>
                    </a:prstGeom>
                    <a:noFill/>
                    <a:ln>
                      <a:noFill/>
                    </a:ln>
                  </pic:spPr>
                </pic:pic>
              </a:graphicData>
            </a:graphic>
          </wp:inline>
        </w:drawing>
      </w:r>
    </w:p>
    <w:p w14:paraId="77C08A04" w14:textId="77777777" w:rsidR="0051704F" w:rsidRPr="0051704F" w:rsidRDefault="0051704F" w:rsidP="0051704F">
      <w:pPr>
        <w:pBdr>
          <w:bottom w:val="single" w:sz="12" w:space="1" w:color="4472C4"/>
        </w:pBdr>
        <w:jc w:val="center"/>
        <w:rPr>
          <w:rFonts w:ascii="Calibri" w:eastAsia="Times New Roman" w:hAnsi="Calibri" w:cs="Times New Roman"/>
          <w:color w:val="800000"/>
        </w:rPr>
      </w:pPr>
      <w:r w:rsidRPr="0051704F">
        <w:rPr>
          <w:rFonts w:ascii="Calibri" w:eastAsia="Times New Roman" w:hAnsi="Calibri" w:cs="Times New Roman"/>
          <w:color w:val="800000"/>
        </w:rPr>
        <w:t>Groupe « Observation des Dynamiques Sociales, Spatiales &amp; Expertise Endogène »</w:t>
      </w:r>
    </w:p>
    <w:p w14:paraId="7EB696CE" w14:textId="3EECD992" w:rsidR="007A5969" w:rsidRDefault="007A5969" w:rsidP="00CD3F92">
      <w:pPr>
        <w:jc w:val="both"/>
      </w:pPr>
    </w:p>
    <w:p w14:paraId="061B3391" w14:textId="29C89D49" w:rsidR="001E1215" w:rsidRPr="00BA0E5A" w:rsidRDefault="001E1215" w:rsidP="00285C80">
      <w:pPr>
        <w:pStyle w:val="Titre1"/>
        <w:rPr>
          <w:sz w:val="24"/>
          <w:szCs w:val="24"/>
        </w:rPr>
      </w:pPr>
      <w:r w:rsidRPr="00BA0E5A">
        <w:rPr>
          <w:sz w:val="24"/>
          <w:szCs w:val="24"/>
        </w:rPr>
        <w:t>INTRODUCTION</w:t>
      </w:r>
    </w:p>
    <w:p w14:paraId="64163594" w14:textId="36E2A121" w:rsidR="00995AE3" w:rsidRPr="000F4DFB" w:rsidRDefault="00995AE3" w:rsidP="00CD3F92">
      <w:pPr>
        <w:jc w:val="both"/>
        <w:rPr>
          <w:sz w:val="24"/>
          <w:szCs w:val="24"/>
        </w:rPr>
      </w:pPr>
      <w:r w:rsidRPr="000F4DFB">
        <w:rPr>
          <w:sz w:val="24"/>
          <w:szCs w:val="24"/>
        </w:rPr>
        <w:t>Les pays du Sahel</w:t>
      </w:r>
      <w:r w:rsidR="00B122AD" w:rsidRPr="000F4DFB">
        <w:rPr>
          <w:sz w:val="24"/>
          <w:szCs w:val="24"/>
        </w:rPr>
        <w:t>, en général, et le Mali en particulier,</w:t>
      </w:r>
      <w:r w:rsidRPr="000F4DFB">
        <w:rPr>
          <w:sz w:val="24"/>
          <w:szCs w:val="24"/>
        </w:rPr>
        <w:t xml:space="preserve"> sont confrontés à une insécurité qui vient s’ajouter aux problèmes de développement qu’ils connaissent habituellement. Les défis sécuritaires sont relatifs au terrorisme, à la criminalité transnationale organisée ainsi qu’à la résurgence des rébellions armées et des conflits intercommunautaires.</w:t>
      </w:r>
    </w:p>
    <w:p w14:paraId="3E171513" w14:textId="00418AA7" w:rsidR="001B0538" w:rsidRPr="000F4DFB" w:rsidRDefault="00B122AD" w:rsidP="00CD3F92">
      <w:pPr>
        <w:jc w:val="both"/>
        <w:rPr>
          <w:sz w:val="24"/>
          <w:szCs w:val="24"/>
        </w:rPr>
      </w:pPr>
      <w:r w:rsidRPr="000F4DFB">
        <w:rPr>
          <w:sz w:val="24"/>
          <w:szCs w:val="24"/>
        </w:rPr>
        <w:t xml:space="preserve">Dans ce contexte d’insécurité et de conflit, </w:t>
      </w:r>
      <w:r w:rsidR="00995AE3" w:rsidRPr="000F4DFB">
        <w:rPr>
          <w:sz w:val="24"/>
          <w:szCs w:val="24"/>
        </w:rPr>
        <w:t xml:space="preserve">les décideurs politiques nationaux et la communauté internationale consacrent de plus en plus d’énergie à </w:t>
      </w:r>
      <w:r w:rsidRPr="000F4DFB">
        <w:rPr>
          <w:sz w:val="24"/>
          <w:szCs w:val="24"/>
        </w:rPr>
        <w:t>l’adoption et la mise en œuvre de mesures</w:t>
      </w:r>
      <w:r w:rsidR="00995AE3" w:rsidRPr="000F4DFB">
        <w:rPr>
          <w:sz w:val="24"/>
          <w:szCs w:val="24"/>
        </w:rPr>
        <w:t xml:space="preserve"> de prévention et d’atténuation des risques de violence électorale </w:t>
      </w:r>
      <w:r w:rsidRPr="000F4DFB">
        <w:rPr>
          <w:sz w:val="24"/>
          <w:szCs w:val="24"/>
        </w:rPr>
        <w:t>en vue d’assurer la participation des électeurs aux scrutins</w:t>
      </w:r>
      <w:r w:rsidR="00995AE3" w:rsidRPr="000F4DFB">
        <w:rPr>
          <w:sz w:val="24"/>
          <w:szCs w:val="24"/>
        </w:rPr>
        <w:t>.</w:t>
      </w:r>
      <w:r w:rsidR="001B0538" w:rsidRPr="000F4DFB">
        <w:rPr>
          <w:sz w:val="24"/>
          <w:szCs w:val="24"/>
        </w:rPr>
        <w:t xml:space="preserve"> </w:t>
      </w:r>
      <w:r w:rsidRPr="000F4DFB">
        <w:rPr>
          <w:sz w:val="24"/>
          <w:szCs w:val="24"/>
        </w:rPr>
        <w:t>Au</w:t>
      </w:r>
      <w:r w:rsidR="001B0538" w:rsidRPr="000F4DFB">
        <w:rPr>
          <w:sz w:val="24"/>
          <w:szCs w:val="24"/>
        </w:rPr>
        <w:t>tant les élections procèdent d’une nécessité démocratique, autant elles n’ont cessé de représenter des moments critiques pour des régimes politiques fragiles comme ceux des pays du Sahel. Les élections dans la zone du Sahel sont souvent un catalyseur de violences, elles contribuent parfois à aggraver des tensions profondément enracinées dans la société</w:t>
      </w:r>
      <w:r w:rsidR="00F26A75" w:rsidRPr="000F4DFB">
        <w:rPr>
          <w:rStyle w:val="Appelnotedebasdep"/>
          <w:sz w:val="24"/>
          <w:szCs w:val="24"/>
        </w:rPr>
        <w:footnoteReference w:id="1"/>
      </w:r>
      <w:r w:rsidR="001B0538" w:rsidRPr="000F4DFB">
        <w:rPr>
          <w:sz w:val="24"/>
          <w:szCs w:val="24"/>
        </w:rPr>
        <w:t xml:space="preserve">, surtout quand elles ne sont pas </w:t>
      </w:r>
      <w:r w:rsidR="0057144B" w:rsidRPr="000F4DFB">
        <w:rPr>
          <w:sz w:val="24"/>
          <w:szCs w:val="24"/>
        </w:rPr>
        <w:t>perçues</w:t>
      </w:r>
      <w:r w:rsidR="001B0538" w:rsidRPr="000F4DFB">
        <w:rPr>
          <w:sz w:val="24"/>
          <w:szCs w:val="24"/>
        </w:rPr>
        <w:t xml:space="preserve"> comme transparentes et crédibles.</w:t>
      </w:r>
    </w:p>
    <w:p w14:paraId="5530653F" w14:textId="5D176944" w:rsidR="00932E27" w:rsidRPr="000F4DFB" w:rsidRDefault="00932E27" w:rsidP="00CD3F92">
      <w:pPr>
        <w:jc w:val="both"/>
        <w:rPr>
          <w:sz w:val="24"/>
          <w:szCs w:val="24"/>
        </w:rPr>
      </w:pPr>
      <w:r w:rsidRPr="000F4DFB">
        <w:rPr>
          <w:sz w:val="24"/>
          <w:szCs w:val="24"/>
        </w:rPr>
        <w:t>Les échéances électorales</w:t>
      </w:r>
      <w:r w:rsidR="0081416A" w:rsidRPr="000F4DFB">
        <w:rPr>
          <w:sz w:val="24"/>
          <w:szCs w:val="24"/>
        </w:rPr>
        <w:t>,</w:t>
      </w:r>
      <w:r w:rsidRPr="000F4DFB">
        <w:rPr>
          <w:sz w:val="24"/>
          <w:szCs w:val="24"/>
        </w:rPr>
        <w:t xml:space="preserve"> qui s’annoncent </w:t>
      </w:r>
      <w:r w:rsidR="00EB53F0" w:rsidRPr="000F4DFB">
        <w:rPr>
          <w:sz w:val="24"/>
          <w:szCs w:val="24"/>
        </w:rPr>
        <w:t>au Mali pour mettre un terme à la transition politique en cours</w:t>
      </w:r>
      <w:r w:rsidR="0081416A" w:rsidRPr="000F4DFB">
        <w:rPr>
          <w:sz w:val="24"/>
          <w:szCs w:val="24"/>
        </w:rPr>
        <w:t>,</w:t>
      </w:r>
      <w:r w:rsidRPr="000F4DFB">
        <w:rPr>
          <w:sz w:val="24"/>
          <w:szCs w:val="24"/>
        </w:rPr>
        <w:t xml:space="preserve"> constituent un </w:t>
      </w:r>
      <w:r w:rsidR="00EB53F0" w:rsidRPr="000F4DFB">
        <w:rPr>
          <w:sz w:val="24"/>
          <w:szCs w:val="24"/>
        </w:rPr>
        <w:t>moment</w:t>
      </w:r>
      <w:r w:rsidRPr="000F4DFB">
        <w:rPr>
          <w:sz w:val="24"/>
          <w:szCs w:val="24"/>
        </w:rPr>
        <w:t xml:space="preserve"> décisif </w:t>
      </w:r>
      <w:r w:rsidR="00EB53F0" w:rsidRPr="000F4DFB">
        <w:rPr>
          <w:sz w:val="24"/>
          <w:szCs w:val="24"/>
        </w:rPr>
        <w:t>d’évalu</w:t>
      </w:r>
      <w:r w:rsidR="0057144B" w:rsidRPr="000F4DFB">
        <w:rPr>
          <w:sz w:val="24"/>
          <w:szCs w:val="24"/>
        </w:rPr>
        <w:t>ation du processus de</w:t>
      </w:r>
      <w:r w:rsidR="00EB53F0" w:rsidRPr="000F4DFB">
        <w:rPr>
          <w:sz w:val="24"/>
          <w:szCs w:val="24"/>
        </w:rPr>
        <w:t xml:space="preserve"> stabilisation sociopolitique et sécuritaire et </w:t>
      </w:r>
      <w:r w:rsidR="0057144B" w:rsidRPr="000F4DFB">
        <w:rPr>
          <w:sz w:val="24"/>
          <w:szCs w:val="24"/>
        </w:rPr>
        <w:t xml:space="preserve">de </w:t>
      </w:r>
      <w:r w:rsidR="00EB53F0" w:rsidRPr="000F4DFB">
        <w:rPr>
          <w:sz w:val="24"/>
          <w:szCs w:val="24"/>
        </w:rPr>
        <w:t xml:space="preserve">mesure </w:t>
      </w:r>
      <w:r w:rsidR="0057144B" w:rsidRPr="000F4DFB">
        <w:rPr>
          <w:sz w:val="24"/>
          <w:szCs w:val="24"/>
        </w:rPr>
        <w:t>du</w:t>
      </w:r>
      <w:r w:rsidR="00EB53F0" w:rsidRPr="000F4DFB">
        <w:rPr>
          <w:sz w:val="24"/>
          <w:szCs w:val="24"/>
        </w:rPr>
        <w:t xml:space="preserve"> niveau de mobilisation et de participation des populations.</w:t>
      </w:r>
      <w:r w:rsidRPr="000F4DFB">
        <w:rPr>
          <w:sz w:val="24"/>
          <w:szCs w:val="24"/>
        </w:rPr>
        <w:t xml:space="preserve"> </w:t>
      </w:r>
    </w:p>
    <w:p w14:paraId="3EA52DC0" w14:textId="45927828" w:rsidR="00110D03" w:rsidRPr="00BA0E5A" w:rsidRDefault="001E1215" w:rsidP="00285C80">
      <w:pPr>
        <w:pStyle w:val="Titre1"/>
        <w:rPr>
          <w:sz w:val="24"/>
          <w:szCs w:val="24"/>
        </w:rPr>
      </w:pPr>
      <w:r w:rsidRPr="00BA0E5A">
        <w:rPr>
          <w:sz w:val="24"/>
          <w:szCs w:val="24"/>
        </w:rPr>
        <w:lastRenderedPageBreak/>
        <w:t xml:space="preserve">LA </w:t>
      </w:r>
      <w:r w:rsidR="0081416A">
        <w:rPr>
          <w:sz w:val="24"/>
          <w:szCs w:val="24"/>
        </w:rPr>
        <w:t xml:space="preserve">FAIBLE </w:t>
      </w:r>
      <w:r w:rsidRPr="00BA0E5A">
        <w:rPr>
          <w:sz w:val="24"/>
          <w:szCs w:val="24"/>
        </w:rPr>
        <w:t>PARTICIPATION, MALADIE CHRONIQUE DES ELECTIONS AU MALI</w:t>
      </w:r>
    </w:p>
    <w:p w14:paraId="7A2606FF" w14:textId="1533358D" w:rsidR="0013368E" w:rsidRPr="000F4DFB" w:rsidRDefault="0013368E" w:rsidP="00CD3F92">
      <w:pPr>
        <w:jc w:val="both"/>
        <w:rPr>
          <w:sz w:val="24"/>
          <w:szCs w:val="24"/>
        </w:rPr>
      </w:pPr>
      <w:r w:rsidRPr="000F4DFB">
        <w:rPr>
          <w:sz w:val="24"/>
          <w:szCs w:val="24"/>
        </w:rPr>
        <w:t xml:space="preserve">La participation est un thème de grande pertinence, l’enjeu étant le raffermissement des efforts tendant à inscrire la démocratie dans le paysage politique et dans la vie quotidienne au Mali. C’est par la participation aux élections que sont désignés les responsables politiques élus qui acquièrent </w:t>
      </w:r>
      <w:r w:rsidR="000D4463" w:rsidRPr="000F4DFB">
        <w:rPr>
          <w:sz w:val="24"/>
          <w:szCs w:val="24"/>
        </w:rPr>
        <w:t>par là</w:t>
      </w:r>
      <w:r w:rsidR="0081416A" w:rsidRPr="000F4DFB">
        <w:rPr>
          <w:sz w:val="24"/>
          <w:szCs w:val="24"/>
        </w:rPr>
        <w:t>,</w:t>
      </w:r>
      <w:r w:rsidR="000D4463" w:rsidRPr="000F4DFB">
        <w:rPr>
          <w:sz w:val="24"/>
          <w:szCs w:val="24"/>
        </w:rPr>
        <w:t xml:space="preserve"> en principe</w:t>
      </w:r>
      <w:r w:rsidR="0081416A" w:rsidRPr="000F4DFB">
        <w:rPr>
          <w:sz w:val="24"/>
          <w:szCs w:val="24"/>
        </w:rPr>
        <w:t>,</w:t>
      </w:r>
      <w:r w:rsidR="000D4463" w:rsidRPr="000F4DFB">
        <w:rPr>
          <w:sz w:val="24"/>
          <w:szCs w:val="24"/>
        </w:rPr>
        <w:t xml:space="preserve"> </w:t>
      </w:r>
      <w:r w:rsidRPr="000F4DFB">
        <w:rPr>
          <w:sz w:val="24"/>
          <w:szCs w:val="24"/>
        </w:rPr>
        <w:t xml:space="preserve">la légitimité nécessaire pour conduire les </w:t>
      </w:r>
      <w:r w:rsidR="0033533C" w:rsidRPr="000F4DFB">
        <w:rPr>
          <w:sz w:val="24"/>
          <w:szCs w:val="24"/>
        </w:rPr>
        <w:t>affaires</w:t>
      </w:r>
      <w:r w:rsidRPr="000F4DFB">
        <w:rPr>
          <w:sz w:val="24"/>
          <w:szCs w:val="24"/>
        </w:rPr>
        <w:t xml:space="preserve"> publiques.</w:t>
      </w:r>
    </w:p>
    <w:p w14:paraId="0353BF9E" w14:textId="7A2286FD" w:rsidR="00CD3F92" w:rsidRPr="000F4DFB" w:rsidRDefault="0013368E" w:rsidP="00CD3F92">
      <w:pPr>
        <w:jc w:val="both"/>
        <w:rPr>
          <w:sz w:val="24"/>
          <w:szCs w:val="24"/>
        </w:rPr>
      </w:pPr>
      <w:r w:rsidRPr="000F4DFB">
        <w:rPr>
          <w:sz w:val="24"/>
          <w:szCs w:val="24"/>
        </w:rPr>
        <w:t>Or, il est de notoriété</w:t>
      </w:r>
      <w:r w:rsidR="004C1673" w:rsidRPr="000F4DFB">
        <w:rPr>
          <w:sz w:val="24"/>
          <w:szCs w:val="24"/>
        </w:rPr>
        <w:t xml:space="preserve"> publique</w:t>
      </w:r>
      <w:r w:rsidRPr="000F4DFB">
        <w:rPr>
          <w:sz w:val="24"/>
          <w:szCs w:val="24"/>
        </w:rPr>
        <w:t xml:space="preserve"> au Mali que l</w:t>
      </w:r>
      <w:r w:rsidR="00EB53F0" w:rsidRPr="000F4DFB">
        <w:rPr>
          <w:sz w:val="24"/>
          <w:szCs w:val="24"/>
        </w:rPr>
        <w:t>es citoyens manifestent de la désaffection à l’égard des scrutins électoraux et bon nombre d’entre eux remettent en cause le lien entre la tenue d’élections et la bonne gouvernance, entre leur vote et son impact positif sur leur vie.</w:t>
      </w:r>
      <w:r w:rsidR="00CD3F92" w:rsidRPr="000F4DFB">
        <w:rPr>
          <w:sz w:val="24"/>
          <w:szCs w:val="24"/>
        </w:rPr>
        <w:t xml:space="preserve"> </w:t>
      </w:r>
      <w:r w:rsidR="00110D03" w:rsidRPr="000F4DFB">
        <w:rPr>
          <w:sz w:val="24"/>
          <w:szCs w:val="24"/>
        </w:rPr>
        <w:t xml:space="preserve">L’analyse des différentes élections au Mali depuis 1992 révèle que </w:t>
      </w:r>
      <w:r w:rsidR="00CD3F92" w:rsidRPr="000F4DFB">
        <w:rPr>
          <w:sz w:val="24"/>
          <w:szCs w:val="24"/>
        </w:rPr>
        <w:t>le taux de participation est resté chroniquement faible, se situan</w:t>
      </w:r>
      <w:r w:rsidR="0033533C" w:rsidRPr="000F4DFB">
        <w:rPr>
          <w:sz w:val="24"/>
          <w:szCs w:val="24"/>
        </w:rPr>
        <w:t>t</w:t>
      </w:r>
      <w:r w:rsidR="00CD3F92" w:rsidRPr="000F4DFB">
        <w:rPr>
          <w:sz w:val="24"/>
          <w:szCs w:val="24"/>
        </w:rPr>
        <w:t xml:space="preserve"> en deçà de 50% de l’électorat. Les campagnes de sensibilisation, d’information et d’éducation civique n’ont eu</w:t>
      </w:r>
      <w:r w:rsidR="0081416A" w:rsidRPr="000F4DFB">
        <w:rPr>
          <w:sz w:val="24"/>
          <w:szCs w:val="24"/>
        </w:rPr>
        <w:t>,</w:t>
      </w:r>
      <w:r w:rsidR="00CD3F92" w:rsidRPr="000F4DFB">
        <w:rPr>
          <w:sz w:val="24"/>
          <w:szCs w:val="24"/>
        </w:rPr>
        <w:t xml:space="preserve"> jusqu’à présent</w:t>
      </w:r>
      <w:r w:rsidR="0081416A" w:rsidRPr="000F4DFB">
        <w:rPr>
          <w:sz w:val="24"/>
          <w:szCs w:val="24"/>
        </w:rPr>
        <w:t>,</w:t>
      </w:r>
      <w:r w:rsidR="00CD3F92" w:rsidRPr="000F4DFB">
        <w:rPr>
          <w:sz w:val="24"/>
          <w:szCs w:val="24"/>
        </w:rPr>
        <w:t xml:space="preserve"> qu’un effet marginal sur le relèvement du taux de participation.</w:t>
      </w:r>
      <w:r w:rsidR="000D4463" w:rsidRPr="000F4DFB">
        <w:rPr>
          <w:sz w:val="24"/>
          <w:szCs w:val="24"/>
        </w:rPr>
        <w:t xml:space="preserve"> L’exemple ci-dessous des taux de participation à l’élection présidentielle vient attester cette réalité.</w:t>
      </w:r>
    </w:p>
    <w:p w14:paraId="3BB77E56" w14:textId="28AA0761" w:rsidR="004D509F" w:rsidRDefault="004D509F" w:rsidP="00F8107B">
      <w:pPr>
        <w:spacing w:after="0"/>
        <w:jc w:val="both"/>
      </w:pPr>
      <w:r>
        <w:rPr>
          <w:noProof/>
          <w:lang w:eastAsia="fr-FR"/>
        </w:rPr>
        <w:drawing>
          <wp:inline distT="0" distB="0" distL="0" distR="0" wp14:anchorId="1DE9DB6C" wp14:editId="65283E25">
            <wp:extent cx="5731510" cy="2237740"/>
            <wp:effectExtent l="0" t="0" r="254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237740"/>
                    </a:xfrm>
                    <a:prstGeom prst="rect">
                      <a:avLst/>
                    </a:prstGeom>
                  </pic:spPr>
                </pic:pic>
              </a:graphicData>
            </a:graphic>
          </wp:inline>
        </w:drawing>
      </w:r>
    </w:p>
    <w:p w14:paraId="2241F1CB" w14:textId="4B2E7498" w:rsidR="004D509F" w:rsidRPr="00F8107B" w:rsidRDefault="004D509F" w:rsidP="00CD3F92">
      <w:pPr>
        <w:jc w:val="both"/>
        <w:rPr>
          <w:i/>
          <w:iCs/>
        </w:rPr>
      </w:pPr>
      <w:r w:rsidRPr="00F8107B">
        <w:rPr>
          <w:i/>
          <w:iCs/>
          <w:noProof/>
          <w:sz w:val="18"/>
          <w:szCs w:val="18"/>
          <w:u w:val="single"/>
        </w:rPr>
        <w:t>Source</w:t>
      </w:r>
      <w:r w:rsidRPr="00F8107B">
        <w:rPr>
          <w:i/>
          <w:iCs/>
          <w:noProof/>
          <w:sz w:val="18"/>
          <w:szCs w:val="18"/>
        </w:rPr>
        <w:t xml:space="preserve"> : </w:t>
      </w:r>
      <w:r w:rsidR="00F8107B" w:rsidRPr="00F8107B">
        <w:rPr>
          <w:i/>
          <w:iCs/>
          <w:noProof/>
          <w:sz w:val="18"/>
          <w:szCs w:val="18"/>
        </w:rPr>
        <w:t>Mission d’observation électorale de l’Union européenne – Mali 2018. Rapport final élection présidentielle 29 juillet 2018 - 12 août 2018. Page 35</w:t>
      </w:r>
    </w:p>
    <w:p w14:paraId="024DD84E" w14:textId="19A19A83" w:rsidR="0029275E" w:rsidRPr="000F4DFB" w:rsidRDefault="004C1673" w:rsidP="00CD3F92">
      <w:pPr>
        <w:jc w:val="both"/>
        <w:rPr>
          <w:sz w:val="24"/>
          <w:szCs w:val="24"/>
        </w:rPr>
      </w:pPr>
      <w:r w:rsidRPr="000F4DFB">
        <w:rPr>
          <w:sz w:val="24"/>
          <w:szCs w:val="24"/>
        </w:rPr>
        <w:t>Face à cette réalité, l</w:t>
      </w:r>
      <w:r w:rsidR="00CD3F92" w:rsidRPr="000F4DFB">
        <w:rPr>
          <w:sz w:val="24"/>
          <w:szCs w:val="24"/>
        </w:rPr>
        <w:t>es partis politiques et les candidats</w:t>
      </w:r>
      <w:r w:rsidR="00B05393" w:rsidRPr="000F4DFB">
        <w:rPr>
          <w:sz w:val="24"/>
          <w:szCs w:val="24"/>
        </w:rPr>
        <w:t xml:space="preserve"> ont exploité</w:t>
      </w:r>
      <w:r w:rsidR="00CD3F92" w:rsidRPr="000F4DFB">
        <w:rPr>
          <w:sz w:val="24"/>
          <w:szCs w:val="24"/>
        </w:rPr>
        <w:t xml:space="preserve"> </w:t>
      </w:r>
      <w:r w:rsidR="00110D03" w:rsidRPr="000F4DFB">
        <w:rPr>
          <w:sz w:val="24"/>
          <w:szCs w:val="24"/>
        </w:rPr>
        <w:t>l’état de pauvreté généralisée</w:t>
      </w:r>
      <w:r w:rsidR="00B05393" w:rsidRPr="000F4DFB">
        <w:rPr>
          <w:sz w:val="24"/>
          <w:szCs w:val="24"/>
        </w:rPr>
        <w:t xml:space="preserve"> des populations pour introduire et </w:t>
      </w:r>
      <w:r w:rsidR="00110D03" w:rsidRPr="000F4DFB">
        <w:rPr>
          <w:sz w:val="24"/>
          <w:szCs w:val="24"/>
        </w:rPr>
        <w:t>valoris</w:t>
      </w:r>
      <w:r w:rsidR="00B05393" w:rsidRPr="000F4DFB">
        <w:rPr>
          <w:sz w:val="24"/>
          <w:szCs w:val="24"/>
        </w:rPr>
        <w:t>er</w:t>
      </w:r>
      <w:r w:rsidR="00110D03" w:rsidRPr="000F4DFB">
        <w:rPr>
          <w:sz w:val="24"/>
          <w:szCs w:val="24"/>
        </w:rPr>
        <w:t xml:space="preserve"> l’argent dans les élections.</w:t>
      </w:r>
      <w:r w:rsidR="00B05393" w:rsidRPr="000F4DFB">
        <w:rPr>
          <w:sz w:val="24"/>
          <w:szCs w:val="24"/>
        </w:rPr>
        <w:t xml:space="preserve"> Désormais, u</w:t>
      </w:r>
      <w:r w:rsidR="00110D03" w:rsidRPr="000F4DFB">
        <w:rPr>
          <w:sz w:val="24"/>
          <w:szCs w:val="24"/>
        </w:rPr>
        <w:t>ne campagne électorale se gagne dans le pays, moins par la qualité des programmes, le nombre de meetings, de tracts distribués, que par les espèces sonnantes et trébuchantes et les réalisations physiques au profit des électeurs. Les populations votent non pas par rapport aux programmes des partis politiques et des candidats, mais plutôt pour se procurer de moyens financiers afin de subvenir à leurs besoins.</w:t>
      </w:r>
      <w:r w:rsidR="00110D03" w:rsidRPr="000F4DFB">
        <w:rPr>
          <w:sz w:val="24"/>
          <w:szCs w:val="24"/>
          <w:u w:val="single"/>
          <w:vertAlign w:val="superscript"/>
        </w:rPr>
        <w:footnoteReference w:id="2"/>
      </w:r>
      <w:r w:rsidR="00110D03" w:rsidRPr="000F4DFB">
        <w:rPr>
          <w:sz w:val="24"/>
          <w:szCs w:val="24"/>
        </w:rPr>
        <w:t xml:space="preserve"> </w:t>
      </w:r>
      <w:r w:rsidR="0029275E" w:rsidRPr="000F4DFB">
        <w:rPr>
          <w:sz w:val="24"/>
          <w:szCs w:val="24"/>
        </w:rPr>
        <w:t xml:space="preserve">Comme certains l’ont écrit, en lieu et place du principe « one man, one vote », on observe « one </w:t>
      </w:r>
      <w:proofErr w:type="spellStart"/>
      <w:r w:rsidR="0029275E" w:rsidRPr="000F4DFB">
        <w:rPr>
          <w:sz w:val="24"/>
          <w:szCs w:val="24"/>
        </w:rPr>
        <w:t>meal</w:t>
      </w:r>
      <w:proofErr w:type="spellEnd"/>
      <w:r w:rsidR="0029275E" w:rsidRPr="000F4DFB">
        <w:rPr>
          <w:sz w:val="24"/>
          <w:szCs w:val="24"/>
        </w:rPr>
        <w:t>, one vote ». Les femmes et les jeunes sont les plus affectés par cette situation.</w:t>
      </w:r>
      <w:r w:rsidR="0029275E" w:rsidRPr="000F4DFB">
        <w:rPr>
          <w:sz w:val="24"/>
          <w:szCs w:val="24"/>
          <w:vertAlign w:val="superscript"/>
        </w:rPr>
        <w:footnoteReference w:id="3"/>
      </w:r>
    </w:p>
    <w:p w14:paraId="58A66E7B" w14:textId="0F857BAE" w:rsidR="00110D03" w:rsidRPr="000F4DFB" w:rsidRDefault="0029275E" w:rsidP="0013368E">
      <w:pPr>
        <w:jc w:val="both"/>
        <w:rPr>
          <w:sz w:val="24"/>
          <w:szCs w:val="24"/>
        </w:rPr>
      </w:pPr>
      <w:r w:rsidRPr="000F4DFB">
        <w:rPr>
          <w:sz w:val="24"/>
          <w:szCs w:val="24"/>
        </w:rPr>
        <w:lastRenderedPageBreak/>
        <w:t xml:space="preserve">En outre, les populations ne perçoivent pas le vote comme un acte individuel mais </w:t>
      </w:r>
      <w:r w:rsidR="000D4463" w:rsidRPr="000F4DFB">
        <w:rPr>
          <w:sz w:val="24"/>
          <w:szCs w:val="24"/>
        </w:rPr>
        <w:t>comme</w:t>
      </w:r>
      <w:r w:rsidRPr="000F4DFB">
        <w:rPr>
          <w:sz w:val="24"/>
          <w:szCs w:val="24"/>
        </w:rPr>
        <w:t xml:space="preserve"> une adhésion à des groupes sociaux. La famille et les affinités sociales priment sur des convictions personnelles</w:t>
      </w:r>
      <w:r w:rsidRPr="000F4DFB">
        <w:rPr>
          <w:rStyle w:val="Appelnotedebasdep"/>
          <w:sz w:val="24"/>
          <w:szCs w:val="24"/>
        </w:rPr>
        <w:footnoteReference w:id="4"/>
      </w:r>
      <w:r w:rsidRPr="000F4DFB">
        <w:rPr>
          <w:sz w:val="24"/>
          <w:szCs w:val="24"/>
        </w:rPr>
        <w:t>.</w:t>
      </w:r>
    </w:p>
    <w:p w14:paraId="3DD2F1F2" w14:textId="60AC99CE" w:rsidR="00932E27" w:rsidRPr="00BA0E5A" w:rsidRDefault="001E1215" w:rsidP="00285C80">
      <w:pPr>
        <w:pStyle w:val="Titre1"/>
        <w:rPr>
          <w:sz w:val="24"/>
          <w:szCs w:val="24"/>
        </w:rPr>
      </w:pPr>
      <w:r w:rsidRPr="00BA0E5A">
        <w:rPr>
          <w:sz w:val="24"/>
          <w:szCs w:val="24"/>
        </w:rPr>
        <w:t xml:space="preserve">PARTICIPATION DES ELECTEURS AUX SCRUTINS </w:t>
      </w:r>
      <w:r w:rsidR="00CC179A">
        <w:rPr>
          <w:sz w:val="24"/>
          <w:szCs w:val="24"/>
        </w:rPr>
        <w:t>EN SITUATION</w:t>
      </w:r>
      <w:r w:rsidRPr="00BA0E5A">
        <w:rPr>
          <w:sz w:val="24"/>
          <w:szCs w:val="24"/>
        </w:rPr>
        <w:t xml:space="preserve"> D’INSECURITE ET DE CONFLIT</w:t>
      </w:r>
    </w:p>
    <w:p w14:paraId="3A4065B1" w14:textId="63A58F34" w:rsidR="00C175A8" w:rsidRPr="00BA0E5A" w:rsidRDefault="00A03598" w:rsidP="00BA0E5A">
      <w:pPr>
        <w:pStyle w:val="Titre2"/>
        <w:rPr>
          <w:sz w:val="22"/>
          <w:szCs w:val="22"/>
        </w:rPr>
      </w:pPr>
      <w:r w:rsidRPr="00BA0E5A">
        <w:rPr>
          <w:sz w:val="22"/>
          <w:szCs w:val="22"/>
        </w:rPr>
        <w:t>Elections communales de novembre 2016</w:t>
      </w:r>
    </w:p>
    <w:p w14:paraId="219C57B2" w14:textId="1A758105" w:rsidR="00C175A8" w:rsidRPr="000F4DFB" w:rsidRDefault="00C175A8" w:rsidP="00BA0E5A">
      <w:pPr>
        <w:jc w:val="both"/>
        <w:rPr>
          <w:sz w:val="24"/>
          <w:szCs w:val="24"/>
        </w:rPr>
      </w:pPr>
      <w:r w:rsidRPr="000F4DFB">
        <w:rPr>
          <w:sz w:val="24"/>
          <w:szCs w:val="24"/>
        </w:rPr>
        <w:t xml:space="preserve">Après quatre reports successifs, les élections communales du 20 novembre 2016 ont été les toutes premières tenues au Mali </w:t>
      </w:r>
      <w:r w:rsidR="00B05393" w:rsidRPr="000F4DFB">
        <w:rPr>
          <w:sz w:val="24"/>
          <w:szCs w:val="24"/>
        </w:rPr>
        <w:t>après la signature de</w:t>
      </w:r>
      <w:r w:rsidRPr="000F4DFB">
        <w:rPr>
          <w:sz w:val="24"/>
          <w:szCs w:val="24"/>
        </w:rPr>
        <w:t xml:space="preserve"> l’Accord d’Alger de 2015</w:t>
      </w:r>
      <w:r w:rsidR="00B05393" w:rsidRPr="000F4DFB">
        <w:rPr>
          <w:sz w:val="24"/>
          <w:szCs w:val="24"/>
        </w:rPr>
        <w:t>. L</w:t>
      </w:r>
      <w:r w:rsidRPr="000F4DFB">
        <w:rPr>
          <w:sz w:val="24"/>
          <w:szCs w:val="24"/>
        </w:rPr>
        <w:t xml:space="preserve">ors de ces élections, seules 688 des 703 communes devaient voter, une quinzaine de communes ayant été exclues d’office pour des raisons de sécurité. Toutefois, sur les 688 communes retenues pour le scrutin, le vote n’a </w:t>
      </w:r>
      <w:r w:rsidR="00B05393" w:rsidRPr="000F4DFB">
        <w:rPr>
          <w:sz w:val="24"/>
          <w:szCs w:val="24"/>
        </w:rPr>
        <w:t xml:space="preserve">pas </w:t>
      </w:r>
      <w:r w:rsidRPr="000F4DFB">
        <w:rPr>
          <w:sz w:val="24"/>
          <w:szCs w:val="24"/>
        </w:rPr>
        <w:t xml:space="preserve">pu se tenir </w:t>
      </w:r>
      <w:r w:rsidR="00B05393" w:rsidRPr="000F4DFB">
        <w:rPr>
          <w:sz w:val="24"/>
          <w:szCs w:val="24"/>
        </w:rPr>
        <w:t>dans</w:t>
      </w:r>
      <w:r w:rsidRPr="000F4DFB">
        <w:rPr>
          <w:sz w:val="24"/>
          <w:szCs w:val="24"/>
        </w:rPr>
        <w:t xml:space="preserve"> 59 communes. </w:t>
      </w:r>
      <w:r w:rsidR="00802949" w:rsidRPr="000F4DFB">
        <w:rPr>
          <w:sz w:val="24"/>
          <w:szCs w:val="24"/>
        </w:rPr>
        <w:t xml:space="preserve">Le </w:t>
      </w:r>
      <w:r w:rsidRPr="000F4DFB">
        <w:rPr>
          <w:sz w:val="24"/>
          <w:szCs w:val="24"/>
        </w:rPr>
        <w:t>plus grand nombre de communes</w:t>
      </w:r>
      <w:r w:rsidR="0081416A" w:rsidRPr="000F4DFB">
        <w:rPr>
          <w:sz w:val="24"/>
          <w:szCs w:val="24"/>
        </w:rPr>
        <w:t>,</w:t>
      </w:r>
      <w:r w:rsidRPr="000F4DFB">
        <w:rPr>
          <w:sz w:val="24"/>
          <w:szCs w:val="24"/>
        </w:rPr>
        <w:t xml:space="preserve"> qui ont connu des perturbations</w:t>
      </w:r>
      <w:r w:rsidR="0081416A" w:rsidRPr="000F4DFB">
        <w:rPr>
          <w:sz w:val="24"/>
          <w:szCs w:val="24"/>
        </w:rPr>
        <w:t>,</w:t>
      </w:r>
      <w:r w:rsidRPr="000F4DFB">
        <w:rPr>
          <w:sz w:val="24"/>
          <w:szCs w:val="24"/>
        </w:rPr>
        <w:t xml:space="preserve"> se trouve dans la région de Tombouctou qui compte 22 communes et dans la région de Mopti qui en compte 16.</w:t>
      </w:r>
    </w:p>
    <w:p w14:paraId="2F8B8EF5" w14:textId="18E5B2DB" w:rsidR="0057144B" w:rsidRPr="000F4DFB" w:rsidRDefault="00C175A8" w:rsidP="00BA0E5A">
      <w:pPr>
        <w:jc w:val="both"/>
        <w:rPr>
          <w:sz w:val="24"/>
          <w:szCs w:val="24"/>
        </w:rPr>
      </w:pPr>
      <w:r w:rsidRPr="000F4DFB">
        <w:rPr>
          <w:sz w:val="24"/>
          <w:szCs w:val="24"/>
        </w:rPr>
        <w:t>Ces élections communales ont connu une faible participation et elles se sont soldées au nord et au centre par la mort de militaires et civil</w:t>
      </w:r>
      <w:r w:rsidR="00C8409D" w:rsidRPr="000F4DFB">
        <w:rPr>
          <w:sz w:val="24"/>
          <w:szCs w:val="24"/>
        </w:rPr>
        <w:t>s</w:t>
      </w:r>
      <w:r w:rsidRPr="000F4DFB">
        <w:rPr>
          <w:sz w:val="24"/>
          <w:szCs w:val="24"/>
        </w:rPr>
        <w:t>, l’enlèvement de candidat, l’intimidation des électeurs et l’incendie de matériel élector</w:t>
      </w:r>
      <w:r w:rsidR="00C8409D" w:rsidRPr="000F4DFB">
        <w:rPr>
          <w:sz w:val="24"/>
          <w:szCs w:val="24"/>
        </w:rPr>
        <w:t>al</w:t>
      </w:r>
      <w:r w:rsidRPr="000F4DFB">
        <w:rPr>
          <w:rStyle w:val="Appelnotedebasdep"/>
          <w:sz w:val="24"/>
          <w:szCs w:val="24"/>
        </w:rPr>
        <w:footnoteReference w:id="5"/>
      </w:r>
      <w:r w:rsidRPr="000F4DFB">
        <w:rPr>
          <w:sz w:val="24"/>
          <w:szCs w:val="24"/>
        </w:rPr>
        <w:t xml:space="preserve"> .</w:t>
      </w:r>
    </w:p>
    <w:p w14:paraId="054A3E2A" w14:textId="22A3FCA1" w:rsidR="00A03598" w:rsidRPr="00BA0E5A" w:rsidRDefault="00A03598" w:rsidP="00BA0E5A">
      <w:pPr>
        <w:pStyle w:val="Titre2"/>
        <w:rPr>
          <w:sz w:val="22"/>
          <w:szCs w:val="22"/>
        </w:rPr>
      </w:pPr>
      <w:r w:rsidRPr="00BA0E5A">
        <w:rPr>
          <w:sz w:val="22"/>
          <w:szCs w:val="22"/>
        </w:rPr>
        <w:t>Election présidentielle de 2018</w:t>
      </w:r>
    </w:p>
    <w:p w14:paraId="6182B1BF" w14:textId="1F24431C" w:rsidR="00A03598" w:rsidRPr="000F4DFB" w:rsidRDefault="0051704F" w:rsidP="00BA0E5A">
      <w:pPr>
        <w:jc w:val="both"/>
        <w:rPr>
          <w:sz w:val="24"/>
          <w:szCs w:val="24"/>
        </w:rPr>
      </w:pPr>
      <w:r w:rsidRPr="000F4DFB">
        <w:rPr>
          <w:sz w:val="24"/>
          <w:szCs w:val="24"/>
        </w:rPr>
        <w:t xml:space="preserve">C’est dans une atmosphère politique électrique que </w:t>
      </w:r>
      <w:r w:rsidR="00802949" w:rsidRPr="000F4DFB">
        <w:rPr>
          <w:sz w:val="24"/>
          <w:szCs w:val="24"/>
        </w:rPr>
        <w:t xml:space="preserve">s’est tenue </w:t>
      </w:r>
      <w:r w:rsidRPr="000F4DFB">
        <w:rPr>
          <w:sz w:val="24"/>
          <w:szCs w:val="24"/>
        </w:rPr>
        <w:t xml:space="preserve">l’élection présidentielle </w:t>
      </w:r>
      <w:r w:rsidR="00802949" w:rsidRPr="000F4DFB">
        <w:rPr>
          <w:i/>
          <w:iCs/>
          <w:sz w:val="24"/>
          <w:szCs w:val="24"/>
        </w:rPr>
        <w:t>des</w:t>
      </w:r>
      <w:r w:rsidR="00802949" w:rsidRPr="000F4DFB">
        <w:rPr>
          <w:sz w:val="24"/>
          <w:szCs w:val="24"/>
        </w:rPr>
        <w:t xml:space="preserve"> 29 juillet et 12 août </w:t>
      </w:r>
      <w:r w:rsidRPr="000F4DFB">
        <w:rPr>
          <w:sz w:val="24"/>
          <w:szCs w:val="24"/>
        </w:rPr>
        <w:t>2018.</w:t>
      </w:r>
      <w:r w:rsidR="00802949" w:rsidRPr="000F4DFB">
        <w:rPr>
          <w:sz w:val="24"/>
          <w:szCs w:val="24"/>
        </w:rPr>
        <w:t xml:space="preserve"> </w:t>
      </w:r>
      <w:r w:rsidR="00A03598" w:rsidRPr="000F4DFB">
        <w:rPr>
          <w:sz w:val="24"/>
          <w:szCs w:val="24"/>
        </w:rPr>
        <w:t xml:space="preserve">La présence de groupes extrémistes islamiques armés au </w:t>
      </w:r>
      <w:r w:rsidR="00802949" w:rsidRPr="000F4DFB">
        <w:rPr>
          <w:sz w:val="24"/>
          <w:szCs w:val="24"/>
        </w:rPr>
        <w:t>nord et au centre du Mali</w:t>
      </w:r>
      <w:r w:rsidR="00A03598" w:rsidRPr="000F4DFB">
        <w:rPr>
          <w:sz w:val="24"/>
          <w:szCs w:val="24"/>
        </w:rPr>
        <w:t xml:space="preserve"> a eu une influence majeure sur </w:t>
      </w:r>
      <w:r w:rsidR="00802949" w:rsidRPr="000F4DFB">
        <w:rPr>
          <w:sz w:val="24"/>
          <w:szCs w:val="24"/>
        </w:rPr>
        <w:t xml:space="preserve">la participation des populations à </w:t>
      </w:r>
      <w:r w:rsidR="00A03598" w:rsidRPr="000F4DFB">
        <w:rPr>
          <w:sz w:val="24"/>
          <w:szCs w:val="24"/>
        </w:rPr>
        <w:t xml:space="preserve">l’élection présidentielle </w:t>
      </w:r>
      <w:r w:rsidR="00802949" w:rsidRPr="000F4DFB">
        <w:rPr>
          <w:sz w:val="24"/>
          <w:szCs w:val="24"/>
        </w:rPr>
        <w:t xml:space="preserve">de </w:t>
      </w:r>
      <w:r w:rsidR="00A03598" w:rsidRPr="000F4DFB">
        <w:rPr>
          <w:i/>
          <w:iCs/>
          <w:sz w:val="24"/>
          <w:szCs w:val="24"/>
        </w:rPr>
        <w:t>2018</w:t>
      </w:r>
      <w:r w:rsidR="00A03598" w:rsidRPr="000F4DFB">
        <w:rPr>
          <w:sz w:val="24"/>
          <w:szCs w:val="24"/>
        </w:rPr>
        <w:t xml:space="preserve">. Un groupe terroriste lié à Al-Qaïda a publié une déclaration avant les élections avertissant la population de ne pas se rendre aux urnes, ce qui a contribué à affaiblir le taux de collecte des cartes </w:t>
      </w:r>
      <w:r w:rsidR="00802949" w:rsidRPr="000F4DFB">
        <w:rPr>
          <w:sz w:val="24"/>
          <w:szCs w:val="24"/>
        </w:rPr>
        <w:t>d’électeurs</w:t>
      </w:r>
      <w:r w:rsidR="00A03598" w:rsidRPr="000F4DFB">
        <w:rPr>
          <w:sz w:val="24"/>
          <w:szCs w:val="24"/>
        </w:rPr>
        <w:t xml:space="preserve"> dans les bureaux de vote locaux </w:t>
      </w:r>
      <w:r w:rsidR="00C8409D" w:rsidRPr="000F4DFB">
        <w:rPr>
          <w:sz w:val="24"/>
          <w:szCs w:val="24"/>
        </w:rPr>
        <w:t>au nord et au centre</w:t>
      </w:r>
      <w:r w:rsidR="00A03598" w:rsidRPr="000F4DFB">
        <w:rPr>
          <w:sz w:val="24"/>
          <w:szCs w:val="24"/>
        </w:rPr>
        <w:t>.</w:t>
      </w:r>
      <w:r w:rsidR="00A03598" w:rsidRPr="000F4DFB">
        <w:rPr>
          <w:sz w:val="24"/>
          <w:szCs w:val="24"/>
          <w:vertAlign w:val="superscript"/>
        </w:rPr>
        <w:footnoteReference w:id="6"/>
      </w:r>
      <w:r w:rsidR="00A03598" w:rsidRPr="000F4DFB">
        <w:rPr>
          <w:sz w:val="24"/>
          <w:szCs w:val="24"/>
        </w:rPr>
        <w:t xml:space="preserve"> L’insécurité et les menaces de violence dans les régions du nord et du centre ont empêché l’ouverture de plus de 800 bureaux de vote, soit environ 3 % du nombre total.</w:t>
      </w:r>
      <w:r w:rsidR="00A03598" w:rsidRPr="000F4DFB">
        <w:rPr>
          <w:sz w:val="24"/>
          <w:szCs w:val="24"/>
          <w:vertAlign w:val="superscript"/>
        </w:rPr>
        <w:footnoteReference w:id="7"/>
      </w:r>
      <w:r w:rsidR="00A03598" w:rsidRPr="000F4DFB">
        <w:rPr>
          <w:sz w:val="24"/>
          <w:szCs w:val="24"/>
        </w:rPr>
        <w:t xml:space="preserve"> Le jour du scrutin, des extrémistes ont brûlé des bureaux de vote et du matériel électoral</w:t>
      </w:r>
      <w:r w:rsidR="000A4AF5" w:rsidRPr="000F4DFB">
        <w:rPr>
          <w:sz w:val="24"/>
          <w:szCs w:val="24"/>
        </w:rPr>
        <w:t> ; ils ont tué également</w:t>
      </w:r>
      <w:r w:rsidR="00A03598" w:rsidRPr="000F4DFB">
        <w:rPr>
          <w:sz w:val="24"/>
          <w:szCs w:val="24"/>
        </w:rPr>
        <w:t xml:space="preserve"> </w:t>
      </w:r>
      <w:r w:rsidR="00C97C34" w:rsidRPr="000F4DFB">
        <w:rPr>
          <w:sz w:val="24"/>
          <w:szCs w:val="24"/>
        </w:rPr>
        <w:t>des</w:t>
      </w:r>
      <w:r w:rsidR="00A03598" w:rsidRPr="000F4DFB">
        <w:rPr>
          <w:sz w:val="24"/>
          <w:szCs w:val="24"/>
        </w:rPr>
        <w:t xml:space="preserve"> agents électoraux.</w:t>
      </w:r>
      <w:r w:rsidR="00A03598" w:rsidRPr="000F4DFB">
        <w:rPr>
          <w:sz w:val="24"/>
          <w:szCs w:val="24"/>
          <w:vertAlign w:val="superscript"/>
        </w:rPr>
        <w:footnoteReference w:id="8"/>
      </w:r>
      <w:r w:rsidR="00A03598" w:rsidRPr="000F4DFB">
        <w:rPr>
          <w:sz w:val="24"/>
          <w:szCs w:val="24"/>
        </w:rPr>
        <w:t xml:space="preserve"> </w:t>
      </w:r>
    </w:p>
    <w:p w14:paraId="341C3964" w14:textId="3714B0DC" w:rsidR="00A03598" w:rsidRPr="000F4DFB" w:rsidRDefault="00A03598" w:rsidP="00BA0E5A">
      <w:pPr>
        <w:jc w:val="both"/>
        <w:rPr>
          <w:sz w:val="24"/>
          <w:szCs w:val="24"/>
        </w:rPr>
      </w:pPr>
      <w:r w:rsidRPr="000F4DFB">
        <w:rPr>
          <w:sz w:val="24"/>
          <w:szCs w:val="24"/>
        </w:rPr>
        <w:t>Au 1</w:t>
      </w:r>
      <w:r w:rsidRPr="000F4DFB">
        <w:rPr>
          <w:sz w:val="24"/>
          <w:szCs w:val="24"/>
          <w:vertAlign w:val="superscript"/>
        </w:rPr>
        <w:t>er</w:t>
      </w:r>
      <w:r w:rsidRPr="000F4DFB">
        <w:rPr>
          <w:sz w:val="24"/>
          <w:szCs w:val="24"/>
        </w:rPr>
        <w:t xml:space="preserve"> tour, le scrutin n’a pas eu lieu dans plus de 871 bureaux de vote, dont plus de 700 dans la région de Mopti, les deux autres régions touchées étant Ségou et Tombouctou. Au 2</w:t>
      </w:r>
      <w:r w:rsidRPr="000F4DFB">
        <w:rPr>
          <w:sz w:val="24"/>
          <w:szCs w:val="24"/>
          <w:vertAlign w:val="superscript"/>
        </w:rPr>
        <w:t>ème</w:t>
      </w:r>
      <w:r w:rsidRPr="000F4DFB">
        <w:rPr>
          <w:sz w:val="24"/>
          <w:szCs w:val="24"/>
        </w:rPr>
        <w:t xml:space="preserve"> tour, 493 bureaux de vote, dont 444 dans la région de Mopti, n’ont pas pu ouvrir. Selon les chiffres officiels fournis par les autorités, 200 000 électeurs potentiels n’ont pas pu se rendre aux urnes pour le premier tour (ISS 2018)</w:t>
      </w:r>
      <w:r w:rsidR="00C97C34" w:rsidRPr="000F4DFB">
        <w:rPr>
          <w:sz w:val="24"/>
          <w:szCs w:val="24"/>
        </w:rPr>
        <w:t xml:space="preserve"> à cause de la </w:t>
      </w:r>
      <w:r w:rsidR="00834575" w:rsidRPr="000F4DFB">
        <w:rPr>
          <w:sz w:val="24"/>
          <w:szCs w:val="24"/>
        </w:rPr>
        <w:t>non-ouverture</w:t>
      </w:r>
      <w:r w:rsidR="00C97C34" w:rsidRPr="000F4DFB">
        <w:rPr>
          <w:sz w:val="24"/>
          <w:szCs w:val="24"/>
        </w:rPr>
        <w:t xml:space="preserve"> de certains bureaux de </w:t>
      </w:r>
      <w:r w:rsidR="00C97C34" w:rsidRPr="000F4DFB">
        <w:rPr>
          <w:sz w:val="24"/>
          <w:szCs w:val="24"/>
        </w:rPr>
        <w:lastRenderedPageBreak/>
        <w:t>vote et l’irruption de groupes armés terroristes dans certains autres bureaux qui étaient ouverts</w:t>
      </w:r>
      <w:r w:rsidRPr="000F4DFB">
        <w:rPr>
          <w:sz w:val="24"/>
          <w:szCs w:val="24"/>
        </w:rPr>
        <w:t>.</w:t>
      </w:r>
      <w:r w:rsidRPr="000F4DFB">
        <w:rPr>
          <w:sz w:val="24"/>
          <w:szCs w:val="24"/>
          <w:vertAlign w:val="superscript"/>
        </w:rPr>
        <w:footnoteReference w:id="9"/>
      </w:r>
      <w:r w:rsidRPr="000F4DFB">
        <w:rPr>
          <w:sz w:val="24"/>
          <w:szCs w:val="24"/>
        </w:rPr>
        <w:t xml:space="preserve"> </w:t>
      </w:r>
    </w:p>
    <w:p w14:paraId="14E38243" w14:textId="2749A2E9" w:rsidR="000D4463" w:rsidRPr="000F4DFB" w:rsidRDefault="001E5ADC" w:rsidP="00BA0E5A">
      <w:pPr>
        <w:jc w:val="both"/>
        <w:rPr>
          <w:sz w:val="24"/>
          <w:szCs w:val="24"/>
        </w:rPr>
      </w:pPr>
      <w:r w:rsidRPr="000F4DFB">
        <w:rPr>
          <w:sz w:val="24"/>
          <w:szCs w:val="24"/>
        </w:rPr>
        <w:t>Le niveau bas du taux de participation</w:t>
      </w:r>
      <w:r w:rsidRPr="000F4DFB">
        <w:rPr>
          <w:b/>
          <w:bCs/>
          <w:sz w:val="24"/>
          <w:szCs w:val="24"/>
        </w:rPr>
        <w:t xml:space="preserve"> </w:t>
      </w:r>
      <w:r w:rsidRPr="000F4DFB">
        <w:rPr>
          <w:sz w:val="24"/>
          <w:szCs w:val="24"/>
        </w:rPr>
        <w:t xml:space="preserve">a été largement attribué à la crainte de la violence, même si on peut y ajouter une autre raison qu’est la désaffection des électeurs au deuxième tour. Le tableau ci-dessous compare le taux de participation au premier </w:t>
      </w:r>
      <w:r w:rsidR="00D051E2" w:rsidRPr="000F4DFB">
        <w:rPr>
          <w:sz w:val="24"/>
          <w:szCs w:val="24"/>
        </w:rPr>
        <w:t xml:space="preserve">tour </w:t>
      </w:r>
      <w:r w:rsidRPr="000F4DFB">
        <w:rPr>
          <w:sz w:val="24"/>
          <w:szCs w:val="24"/>
        </w:rPr>
        <w:t xml:space="preserve">et </w:t>
      </w:r>
      <w:r w:rsidR="00D051E2" w:rsidRPr="000F4DFB">
        <w:rPr>
          <w:sz w:val="24"/>
          <w:szCs w:val="24"/>
        </w:rPr>
        <w:t>au deuxième tour</w:t>
      </w:r>
      <w:r w:rsidRPr="000F4DFB">
        <w:rPr>
          <w:sz w:val="24"/>
          <w:szCs w:val="24"/>
        </w:rPr>
        <w:t>.</w:t>
      </w:r>
    </w:p>
    <w:p w14:paraId="67CAD230" w14:textId="55F6BA32" w:rsidR="00203FAD" w:rsidRDefault="00203FAD" w:rsidP="00203FAD">
      <w:pPr>
        <w:spacing w:after="0"/>
        <w:jc w:val="both"/>
      </w:pPr>
      <w:r>
        <w:rPr>
          <w:noProof/>
          <w:lang w:eastAsia="fr-FR"/>
        </w:rPr>
        <w:drawing>
          <wp:inline distT="0" distB="0" distL="0" distR="0" wp14:anchorId="755206C6" wp14:editId="659B10E2">
            <wp:extent cx="5737263" cy="27146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a:extLst>
                        <a:ext uri="{28A0092B-C50C-407E-A947-70E740481C1C}">
                          <a14:useLocalDpi xmlns:a14="http://schemas.microsoft.com/office/drawing/2010/main" val="0"/>
                        </a:ext>
                      </a:extLst>
                    </a:blip>
                    <a:stretch>
                      <a:fillRect/>
                    </a:stretch>
                  </pic:blipFill>
                  <pic:spPr>
                    <a:xfrm>
                      <a:off x="0" y="0"/>
                      <a:ext cx="5765526" cy="2727998"/>
                    </a:xfrm>
                    <a:prstGeom prst="rect">
                      <a:avLst/>
                    </a:prstGeom>
                  </pic:spPr>
                </pic:pic>
              </a:graphicData>
            </a:graphic>
          </wp:inline>
        </w:drawing>
      </w:r>
    </w:p>
    <w:p w14:paraId="50003215" w14:textId="72FF2234" w:rsidR="00203FAD" w:rsidRPr="00F8107B" w:rsidRDefault="00203FAD" w:rsidP="00203FAD">
      <w:pPr>
        <w:jc w:val="both"/>
        <w:rPr>
          <w:i/>
          <w:iCs/>
        </w:rPr>
      </w:pPr>
      <w:r w:rsidRPr="00F8107B">
        <w:rPr>
          <w:i/>
          <w:iCs/>
          <w:noProof/>
          <w:sz w:val="18"/>
          <w:szCs w:val="18"/>
          <w:u w:val="single"/>
        </w:rPr>
        <w:t>Source</w:t>
      </w:r>
      <w:r w:rsidRPr="00F8107B">
        <w:rPr>
          <w:i/>
          <w:iCs/>
          <w:noProof/>
          <w:sz w:val="18"/>
          <w:szCs w:val="18"/>
        </w:rPr>
        <w:t> : Mission d’observation électorale de l’Union européenne – Mali 2018. Rapport final élection présidentielle 29 juillet 2018 - 12 août 2018.</w:t>
      </w:r>
      <w:r>
        <w:rPr>
          <w:i/>
          <w:iCs/>
          <w:noProof/>
          <w:sz w:val="18"/>
          <w:szCs w:val="18"/>
        </w:rPr>
        <w:t xml:space="preserve"> Annexe B1,</w:t>
      </w:r>
      <w:r w:rsidRPr="00F8107B">
        <w:rPr>
          <w:i/>
          <w:iCs/>
          <w:noProof/>
          <w:sz w:val="18"/>
          <w:szCs w:val="18"/>
        </w:rPr>
        <w:t xml:space="preserve"> </w:t>
      </w:r>
      <w:r>
        <w:rPr>
          <w:i/>
          <w:iCs/>
          <w:noProof/>
          <w:sz w:val="18"/>
          <w:szCs w:val="18"/>
        </w:rPr>
        <w:t>p</w:t>
      </w:r>
      <w:r w:rsidRPr="00F8107B">
        <w:rPr>
          <w:i/>
          <w:iCs/>
          <w:noProof/>
          <w:sz w:val="18"/>
          <w:szCs w:val="18"/>
        </w:rPr>
        <w:t>age 5</w:t>
      </w:r>
      <w:r>
        <w:rPr>
          <w:i/>
          <w:iCs/>
          <w:noProof/>
          <w:sz w:val="18"/>
          <w:szCs w:val="18"/>
        </w:rPr>
        <w:t>4</w:t>
      </w:r>
    </w:p>
    <w:p w14:paraId="0208F25F" w14:textId="0132D9A0" w:rsidR="00110D03" w:rsidRPr="00BA0E5A" w:rsidRDefault="00110D03" w:rsidP="00BA0E5A">
      <w:pPr>
        <w:pStyle w:val="Titre2"/>
        <w:rPr>
          <w:sz w:val="22"/>
          <w:szCs w:val="22"/>
        </w:rPr>
      </w:pPr>
      <w:r w:rsidRPr="00BA0E5A">
        <w:rPr>
          <w:sz w:val="22"/>
          <w:szCs w:val="22"/>
        </w:rPr>
        <w:t>Elections législatives de 2020</w:t>
      </w:r>
    </w:p>
    <w:p w14:paraId="3DCAC177" w14:textId="6120B8EC" w:rsidR="00110D03" w:rsidRPr="000F4DFB" w:rsidRDefault="0038777C" w:rsidP="00BA0E5A">
      <w:pPr>
        <w:jc w:val="both"/>
        <w:rPr>
          <w:sz w:val="24"/>
          <w:szCs w:val="24"/>
        </w:rPr>
      </w:pPr>
      <w:r w:rsidRPr="000F4DFB">
        <w:rPr>
          <w:sz w:val="24"/>
          <w:szCs w:val="24"/>
        </w:rPr>
        <w:t>Le</w:t>
      </w:r>
      <w:r w:rsidR="00110D03" w:rsidRPr="000F4DFB">
        <w:rPr>
          <w:sz w:val="24"/>
          <w:szCs w:val="24"/>
        </w:rPr>
        <w:t xml:space="preserve"> mandat des députés échu depuis trois ans, les élections législatives ont été plusieurs fois reportées en raison de l’insécurité générale dans le pays – en particulier dans le centre et dans le nord où les groupes armés non étatiques domin</w:t>
      </w:r>
      <w:r w:rsidRPr="000F4DFB">
        <w:rPr>
          <w:sz w:val="24"/>
          <w:szCs w:val="24"/>
        </w:rPr>
        <w:t>ai</w:t>
      </w:r>
      <w:r w:rsidR="00110D03" w:rsidRPr="000F4DFB">
        <w:rPr>
          <w:sz w:val="24"/>
          <w:szCs w:val="24"/>
        </w:rPr>
        <w:t>ent. Ces élections constitutionnellement prévues en décembre 2018 n’ayant pu se tenir pour des raisons sécuritaires, la Cour constitutionnelle a dû accéder à une première prorogation de six mois jusqu’au 30 juin 2</w:t>
      </w:r>
      <w:r w:rsidR="00834575" w:rsidRPr="000F4DFB">
        <w:rPr>
          <w:sz w:val="24"/>
          <w:szCs w:val="24"/>
        </w:rPr>
        <w:t>019</w:t>
      </w:r>
      <w:r w:rsidR="00110D03" w:rsidRPr="000F4DFB">
        <w:rPr>
          <w:sz w:val="24"/>
          <w:szCs w:val="24"/>
        </w:rPr>
        <w:t>, puis une seconde jusqu’au 2 mai 2020</w:t>
      </w:r>
      <w:r w:rsidR="00EC71DB" w:rsidRPr="000F4DFB">
        <w:rPr>
          <w:sz w:val="24"/>
          <w:szCs w:val="24"/>
        </w:rPr>
        <w:t>,</w:t>
      </w:r>
      <w:r w:rsidR="00110D03" w:rsidRPr="000F4DFB">
        <w:rPr>
          <w:sz w:val="24"/>
          <w:szCs w:val="24"/>
        </w:rPr>
        <w:t xml:space="preserve"> du mandat des députés. Les élections législatives</w:t>
      </w:r>
      <w:r w:rsidR="00834575" w:rsidRPr="000F4DFB">
        <w:rPr>
          <w:sz w:val="24"/>
          <w:szCs w:val="24"/>
        </w:rPr>
        <w:t xml:space="preserve"> se</w:t>
      </w:r>
      <w:r w:rsidR="00110D03" w:rsidRPr="000F4DFB">
        <w:rPr>
          <w:sz w:val="24"/>
          <w:szCs w:val="24"/>
        </w:rPr>
        <w:t xml:space="preserve"> sont finalement </w:t>
      </w:r>
      <w:r w:rsidR="00834575" w:rsidRPr="000F4DFB">
        <w:rPr>
          <w:sz w:val="24"/>
          <w:szCs w:val="24"/>
        </w:rPr>
        <w:t>tenues</w:t>
      </w:r>
      <w:r w:rsidR="00110D03" w:rsidRPr="000F4DFB">
        <w:rPr>
          <w:sz w:val="24"/>
          <w:szCs w:val="24"/>
        </w:rPr>
        <w:t xml:space="preserve"> les 29 mars et 19 avril 2020.</w:t>
      </w:r>
    </w:p>
    <w:p w14:paraId="2571279C" w14:textId="4EFB95F1" w:rsidR="003653C2" w:rsidRPr="000F4DFB" w:rsidRDefault="0057144B" w:rsidP="00BA0E5A">
      <w:pPr>
        <w:jc w:val="both"/>
        <w:rPr>
          <w:sz w:val="24"/>
          <w:szCs w:val="24"/>
        </w:rPr>
      </w:pPr>
      <w:r w:rsidRPr="000F4DFB">
        <w:rPr>
          <w:sz w:val="24"/>
          <w:szCs w:val="24"/>
        </w:rPr>
        <w:t xml:space="preserve">La participation est restée faible, dépassant à peine les 35%. Au premier tour, la participation a été de </w:t>
      </w:r>
      <w:r w:rsidR="003653C2" w:rsidRPr="000F4DFB">
        <w:rPr>
          <w:sz w:val="24"/>
          <w:szCs w:val="24"/>
        </w:rPr>
        <w:t>35,58%</w:t>
      </w:r>
      <w:r w:rsidRPr="000F4DFB">
        <w:rPr>
          <w:sz w:val="24"/>
          <w:szCs w:val="24"/>
        </w:rPr>
        <w:t xml:space="preserve"> : elle a légèrement </w:t>
      </w:r>
      <w:r w:rsidR="0081416A" w:rsidRPr="000F4DFB">
        <w:rPr>
          <w:sz w:val="24"/>
          <w:szCs w:val="24"/>
        </w:rPr>
        <w:t>baissé</w:t>
      </w:r>
      <w:r w:rsidRPr="000F4DFB">
        <w:rPr>
          <w:sz w:val="24"/>
          <w:szCs w:val="24"/>
        </w:rPr>
        <w:t xml:space="preserve"> au second tour pour</w:t>
      </w:r>
      <w:r w:rsidR="0081416A" w:rsidRPr="000F4DFB">
        <w:rPr>
          <w:sz w:val="24"/>
          <w:szCs w:val="24"/>
        </w:rPr>
        <w:t xml:space="preserve"> se</w:t>
      </w:r>
      <w:r w:rsidRPr="000F4DFB">
        <w:rPr>
          <w:sz w:val="24"/>
          <w:szCs w:val="24"/>
        </w:rPr>
        <w:t xml:space="preserve"> situer à 35, 25%.</w:t>
      </w:r>
    </w:p>
    <w:p w14:paraId="24B41B77" w14:textId="2C8E60B3" w:rsidR="00D051E2" w:rsidRDefault="00D051E2" w:rsidP="00BA0E5A">
      <w:pPr>
        <w:jc w:val="both"/>
      </w:pPr>
    </w:p>
    <w:p w14:paraId="6D207CE7" w14:textId="7DD52E24" w:rsidR="00D051E2" w:rsidRPr="000F4DFB" w:rsidRDefault="00D051E2" w:rsidP="00BA0E5A">
      <w:pPr>
        <w:jc w:val="both"/>
        <w:rPr>
          <w:sz w:val="24"/>
          <w:szCs w:val="24"/>
        </w:rPr>
      </w:pPr>
      <w:r w:rsidRPr="000F4DFB">
        <w:rPr>
          <w:sz w:val="24"/>
          <w:szCs w:val="24"/>
        </w:rPr>
        <w:t>De ces trois illustrations, il ressort clairement que</w:t>
      </w:r>
      <w:r w:rsidR="00107B6C" w:rsidRPr="000F4DFB">
        <w:rPr>
          <w:sz w:val="24"/>
          <w:szCs w:val="24"/>
        </w:rPr>
        <w:t>,</w:t>
      </w:r>
      <w:r w:rsidRPr="000F4DFB">
        <w:rPr>
          <w:sz w:val="24"/>
          <w:szCs w:val="24"/>
        </w:rPr>
        <w:t xml:space="preserve"> dans </w:t>
      </w:r>
      <w:r w:rsidR="00107B6C" w:rsidRPr="000F4DFB">
        <w:rPr>
          <w:sz w:val="24"/>
          <w:szCs w:val="24"/>
        </w:rPr>
        <w:t>les</w:t>
      </w:r>
      <w:r w:rsidRPr="000F4DFB">
        <w:rPr>
          <w:sz w:val="24"/>
          <w:szCs w:val="24"/>
        </w:rPr>
        <w:t xml:space="preserve"> zones de conflit et d’insécurité, il n’est pas aisé d’organiser les élections et d’assurer </w:t>
      </w:r>
      <w:r w:rsidR="006403A8" w:rsidRPr="000F4DFB">
        <w:rPr>
          <w:sz w:val="24"/>
          <w:szCs w:val="24"/>
        </w:rPr>
        <w:t xml:space="preserve">une </w:t>
      </w:r>
      <w:r w:rsidR="00617F04" w:rsidRPr="000F4DFB">
        <w:rPr>
          <w:sz w:val="24"/>
          <w:szCs w:val="24"/>
        </w:rPr>
        <w:t>large</w:t>
      </w:r>
      <w:r w:rsidRPr="000F4DFB">
        <w:rPr>
          <w:sz w:val="24"/>
          <w:szCs w:val="24"/>
        </w:rPr>
        <w:t xml:space="preserve"> participation des électeurs. Les craintes de violence, les menaces d’attaques terroristes et les atteintes à la vie humaine et à l’intégrité physique des personnes sont autant de situations qui </w:t>
      </w:r>
      <w:r w:rsidR="006403A8" w:rsidRPr="000F4DFB">
        <w:rPr>
          <w:sz w:val="24"/>
          <w:szCs w:val="24"/>
        </w:rPr>
        <w:t>rendent difficiles les élections</w:t>
      </w:r>
      <w:r w:rsidRPr="000F4DFB">
        <w:rPr>
          <w:sz w:val="24"/>
          <w:szCs w:val="24"/>
        </w:rPr>
        <w:t xml:space="preserve"> dans les zones de conflit.</w:t>
      </w:r>
      <w:r w:rsidR="006403A8" w:rsidRPr="000F4DFB">
        <w:rPr>
          <w:sz w:val="24"/>
          <w:szCs w:val="24"/>
        </w:rPr>
        <w:t xml:space="preserve"> La sécurité des électeurs et des agents électoraux doivent être au </w:t>
      </w:r>
      <w:r w:rsidR="006403A8" w:rsidRPr="000F4DFB">
        <w:rPr>
          <w:sz w:val="24"/>
          <w:szCs w:val="24"/>
        </w:rPr>
        <w:lastRenderedPageBreak/>
        <w:t>centre des préoccupations des autorités publiques et guider toute décision de tenue ou pas du scrutin, d’ouverture ou pas des bureaux de vote.</w:t>
      </w:r>
    </w:p>
    <w:p w14:paraId="4AF738F8" w14:textId="19CEF85E" w:rsidR="00A03598" w:rsidRPr="00BA0E5A" w:rsidRDefault="001E1215" w:rsidP="00BA0E5A">
      <w:pPr>
        <w:pStyle w:val="Titre1"/>
        <w:rPr>
          <w:sz w:val="22"/>
          <w:szCs w:val="22"/>
        </w:rPr>
      </w:pPr>
      <w:r w:rsidRPr="00BA0E5A">
        <w:rPr>
          <w:sz w:val="22"/>
          <w:szCs w:val="22"/>
        </w:rPr>
        <w:t xml:space="preserve">PARTICIPATION AUX ELECTIONS </w:t>
      </w:r>
      <w:r w:rsidR="00CC179A">
        <w:rPr>
          <w:sz w:val="22"/>
          <w:szCs w:val="22"/>
        </w:rPr>
        <w:t xml:space="preserve">DANS LE CONTEXTE ACTUEL : </w:t>
      </w:r>
      <w:r w:rsidRPr="00BA0E5A">
        <w:rPr>
          <w:sz w:val="22"/>
          <w:szCs w:val="22"/>
        </w:rPr>
        <w:t>QUELLES PERSPECTIVES</w:t>
      </w:r>
      <w:r w:rsidR="00CC179A">
        <w:rPr>
          <w:sz w:val="22"/>
          <w:szCs w:val="22"/>
        </w:rPr>
        <w:t> ?</w:t>
      </w:r>
    </w:p>
    <w:p w14:paraId="1029DE0B" w14:textId="1EC0D1CF" w:rsidR="00A03598" w:rsidRPr="000F4DFB" w:rsidRDefault="00305C54" w:rsidP="00BA0E5A">
      <w:pPr>
        <w:jc w:val="both"/>
        <w:rPr>
          <w:sz w:val="24"/>
          <w:szCs w:val="24"/>
        </w:rPr>
      </w:pPr>
      <w:r w:rsidRPr="000F4DFB">
        <w:rPr>
          <w:sz w:val="24"/>
          <w:szCs w:val="24"/>
        </w:rPr>
        <w:t xml:space="preserve">La question reste posée de savoir comment va-t-on pouvoir garantir </w:t>
      </w:r>
      <w:r w:rsidR="00834575" w:rsidRPr="000F4DFB">
        <w:rPr>
          <w:sz w:val="24"/>
          <w:szCs w:val="24"/>
        </w:rPr>
        <w:t xml:space="preserve">les </w:t>
      </w:r>
      <w:r w:rsidRPr="000F4DFB">
        <w:rPr>
          <w:sz w:val="24"/>
          <w:szCs w:val="24"/>
        </w:rPr>
        <w:t xml:space="preserve">conditions </w:t>
      </w:r>
      <w:r w:rsidR="00834575" w:rsidRPr="000F4DFB">
        <w:rPr>
          <w:sz w:val="24"/>
          <w:szCs w:val="24"/>
        </w:rPr>
        <w:t xml:space="preserve">d’une large participation des populations aux différents scrutins </w:t>
      </w:r>
      <w:r w:rsidRPr="000F4DFB">
        <w:rPr>
          <w:sz w:val="24"/>
          <w:szCs w:val="24"/>
        </w:rPr>
        <w:t>dans un environnement fragile</w:t>
      </w:r>
      <w:r w:rsidR="00834575" w:rsidRPr="000F4DFB">
        <w:rPr>
          <w:sz w:val="24"/>
          <w:szCs w:val="24"/>
        </w:rPr>
        <w:t>,</w:t>
      </w:r>
      <w:r w:rsidRPr="000F4DFB">
        <w:rPr>
          <w:sz w:val="24"/>
          <w:szCs w:val="24"/>
        </w:rPr>
        <w:t xml:space="preserve"> marqué par l’insécurité où </w:t>
      </w:r>
      <w:r w:rsidR="00834575" w:rsidRPr="000F4DFB">
        <w:rPr>
          <w:sz w:val="24"/>
          <w:szCs w:val="24"/>
        </w:rPr>
        <w:t xml:space="preserve">le </w:t>
      </w:r>
      <w:r w:rsidRPr="000F4DFB">
        <w:rPr>
          <w:sz w:val="24"/>
          <w:szCs w:val="24"/>
        </w:rPr>
        <w:t>gouvernement central</w:t>
      </w:r>
      <w:r w:rsidR="00834575" w:rsidRPr="000F4DFB">
        <w:rPr>
          <w:sz w:val="24"/>
          <w:szCs w:val="24"/>
        </w:rPr>
        <w:t xml:space="preserve"> n’exerce pas encore un contrôle effectif sur certaines parties du territoire</w:t>
      </w:r>
      <w:r w:rsidRPr="000F4DFB">
        <w:rPr>
          <w:sz w:val="24"/>
          <w:szCs w:val="24"/>
        </w:rPr>
        <w:t xml:space="preserve">. Nombre d’acteurs s’interrogent sur la faisabilité du vote dans les zones d’insécurité. Pour ces acteurs, </w:t>
      </w:r>
      <w:r w:rsidR="00CC179A" w:rsidRPr="000F4DFB">
        <w:rPr>
          <w:sz w:val="24"/>
          <w:szCs w:val="24"/>
        </w:rPr>
        <w:t>aller aux</w:t>
      </w:r>
      <w:r w:rsidRPr="000F4DFB">
        <w:rPr>
          <w:sz w:val="24"/>
          <w:szCs w:val="24"/>
        </w:rPr>
        <w:t xml:space="preserve"> élections sans régler les questions de présence des acteurs armés non étatiques dans le pays</w:t>
      </w:r>
      <w:r w:rsidR="00EC71DB" w:rsidRPr="000F4DFB">
        <w:rPr>
          <w:sz w:val="24"/>
          <w:szCs w:val="24"/>
        </w:rPr>
        <w:t xml:space="preserve"> et prendre en charge le potentiel de violences auxquels s’exposent les électeurs et les agents électoraux</w:t>
      </w:r>
      <w:r w:rsidR="00CC179A" w:rsidRPr="000F4DFB">
        <w:rPr>
          <w:sz w:val="24"/>
          <w:szCs w:val="24"/>
        </w:rPr>
        <w:t xml:space="preserve">, c’est aller à des </w:t>
      </w:r>
      <w:r w:rsidR="006403A8" w:rsidRPr="000F4DFB">
        <w:rPr>
          <w:sz w:val="24"/>
          <w:szCs w:val="24"/>
        </w:rPr>
        <w:t>scrutins techniquement</w:t>
      </w:r>
      <w:r w:rsidRPr="000F4DFB">
        <w:rPr>
          <w:sz w:val="24"/>
          <w:szCs w:val="24"/>
        </w:rPr>
        <w:t xml:space="preserve"> difficiles</w:t>
      </w:r>
      <w:r w:rsidR="00CC179A" w:rsidRPr="000F4DFB">
        <w:rPr>
          <w:sz w:val="24"/>
          <w:szCs w:val="24"/>
        </w:rPr>
        <w:t xml:space="preserve"> à organiser</w:t>
      </w:r>
      <w:r w:rsidRPr="000F4DFB">
        <w:rPr>
          <w:sz w:val="24"/>
          <w:szCs w:val="24"/>
        </w:rPr>
        <w:t xml:space="preserve"> et</w:t>
      </w:r>
      <w:r w:rsidR="00CC179A" w:rsidRPr="000F4DFB">
        <w:rPr>
          <w:sz w:val="24"/>
          <w:szCs w:val="24"/>
        </w:rPr>
        <w:t xml:space="preserve"> prendre le risque d’exclure certains électeurs en zone d’insécurité ; toutes choses qui conduiront à un</w:t>
      </w:r>
      <w:r w:rsidRPr="000F4DFB">
        <w:rPr>
          <w:sz w:val="24"/>
          <w:szCs w:val="24"/>
        </w:rPr>
        <w:t xml:space="preserve"> faible taux de participation.</w:t>
      </w:r>
    </w:p>
    <w:p w14:paraId="1E722395" w14:textId="5D467357" w:rsidR="005E30B9" w:rsidRPr="000F4DFB" w:rsidRDefault="006C14F1" w:rsidP="00BA0E5A">
      <w:pPr>
        <w:jc w:val="both"/>
        <w:rPr>
          <w:sz w:val="24"/>
          <w:szCs w:val="24"/>
        </w:rPr>
      </w:pPr>
      <w:r w:rsidRPr="000F4DFB">
        <w:rPr>
          <w:sz w:val="24"/>
          <w:szCs w:val="24"/>
        </w:rPr>
        <w:t>Dans le contexte actuel, pour relever le niveau du taux de participation, il faudra certainement intensifier les campagnes de sensibilisation, d’information et d’éducation civique</w:t>
      </w:r>
      <w:r w:rsidR="00186434" w:rsidRPr="000F4DFB">
        <w:rPr>
          <w:sz w:val="24"/>
          <w:szCs w:val="24"/>
        </w:rPr>
        <w:t xml:space="preserve"> pour lutter contre cette maladie chronique qu’est la faible participation</w:t>
      </w:r>
      <w:r w:rsidRPr="000F4DFB">
        <w:rPr>
          <w:sz w:val="24"/>
          <w:szCs w:val="24"/>
        </w:rPr>
        <w:t>.</w:t>
      </w:r>
    </w:p>
    <w:p w14:paraId="4865590E" w14:textId="1AABB1C1" w:rsidR="006C14F1" w:rsidRPr="000F4DFB" w:rsidRDefault="00186434" w:rsidP="00BA0E5A">
      <w:pPr>
        <w:jc w:val="both"/>
        <w:rPr>
          <w:sz w:val="24"/>
          <w:szCs w:val="24"/>
        </w:rPr>
      </w:pPr>
      <w:r w:rsidRPr="000F4DFB">
        <w:rPr>
          <w:sz w:val="24"/>
          <w:szCs w:val="24"/>
        </w:rPr>
        <w:t>Cela dit</w:t>
      </w:r>
      <w:r w:rsidR="005E30B9" w:rsidRPr="000F4DFB">
        <w:rPr>
          <w:sz w:val="24"/>
          <w:szCs w:val="24"/>
        </w:rPr>
        <w:t>,</w:t>
      </w:r>
      <w:r w:rsidR="006403A8" w:rsidRPr="000F4DFB">
        <w:rPr>
          <w:sz w:val="24"/>
          <w:szCs w:val="24"/>
        </w:rPr>
        <w:t xml:space="preserve"> </w:t>
      </w:r>
      <w:r w:rsidR="005E30B9" w:rsidRPr="000F4DFB">
        <w:rPr>
          <w:sz w:val="24"/>
          <w:szCs w:val="24"/>
        </w:rPr>
        <w:t>la question reste posée de savoir comment va-t-on pouvoir garantir les conditions d’une large participation des populations aux différents scrutins dans un environnement fragile. A cet égard,</w:t>
      </w:r>
      <w:r w:rsidR="006C14F1" w:rsidRPr="000F4DFB">
        <w:rPr>
          <w:sz w:val="24"/>
          <w:szCs w:val="24"/>
        </w:rPr>
        <w:t xml:space="preserve"> il parait indispensable de prendre en charge certaines questions clés</w:t>
      </w:r>
      <w:r w:rsidR="005E30B9" w:rsidRPr="000F4DFB">
        <w:rPr>
          <w:sz w:val="24"/>
          <w:szCs w:val="24"/>
        </w:rPr>
        <w:t>, au nombre desquelles on peut citer</w:t>
      </w:r>
      <w:r w:rsidR="006C14F1" w:rsidRPr="000F4DFB">
        <w:rPr>
          <w:sz w:val="24"/>
          <w:szCs w:val="24"/>
        </w:rPr>
        <w:t> :</w:t>
      </w:r>
    </w:p>
    <w:p w14:paraId="2E7B1E1E" w14:textId="46AF9C92" w:rsidR="006C14F1" w:rsidRPr="000F4DFB" w:rsidRDefault="006C14F1" w:rsidP="005E30B9">
      <w:pPr>
        <w:pStyle w:val="Paragraphedeliste"/>
        <w:numPr>
          <w:ilvl w:val="0"/>
          <w:numId w:val="21"/>
        </w:numPr>
        <w:ind w:left="426"/>
        <w:jc w:val="both"/>
        <w:rPr>
          <w:sz w:val="24"/>
          <w:szCs w:val="24"/>
        </w:rPr>
      </w:pPr>
      <w:r w:rsidRPr="000F4DFB">
        <w:rPr>
          <w:b/>
          <w:bCs/>
          <w:sz w:val="24"/>
          <w:szCs w:val="24"/>
        </w:rPr>
        <w:t>La question de la sécurité des électeurs</w:t>
      </w:r>
      <w:r w:rsidRPr="000F4DFB">
        <w:rPr>
          <w:sz w:val="24"/>
          <w:szCs w:val="24"/>
        </w:rPr>
        <w:t xml:space="preserve"> : Il est indispensable de prendre en charge la question de la sécurité des </w:t>
      </w:r>
      <w:r w:rsidR="00EC71DB" w:rsidRPr="000F4DFB">
        <w:rPr>
          <w:sz w:val="24"/>
          <w:szCs w:val="24"/>
        </w:rPr>
        <w:t xml:space="preserve">agents électoraux et des </w:t>
      </w:r>
      <w:r w:rsidRPr="000F4DFB">
        <w:rPr>
          <w:sz w:val="24"/>
          <w:szCs w:val="24"/>
        </w:rPr>
        <w:t>électeurs le jour du vote afin</w:t>
      </w:r>
      <w:r w:rsidR="00705C2E" w:rsidRPr="000F4DFB">
        <w:rPr>
          <w:sz w:val="24"/>
          <w:szCs w:val="24"/>
        </w:rPr>
        <w:t xml:space="preserve"> que</w:t>
      </w:r>
      <w:r w:rsidRPr="000F4DFB">
        <w:rPr>
          <w:sz w:val="24"/>
          <w:szCs w:val="24"/>
        </w:rPr>
        <w:t xml:space="preserve"> </w:t>
      </w:r>
      <w:r w:rsidR="00EC71DB" w:rsidRPr="000F4DFB">
        <w:rPr>
          <w:sz w:val="24"/>
          <w:szCs w:val="24"/>
        </w:rPr>
        <w:t xml:space="preserve">ces derniers </w:t>
      </w:r>
      <w:r w:rsidRPr="000F4DFB">
        <w:rPr>
          <w:sz w:val="24"/>
          <w:szCs w:val="24"/>
        </w:rPr>
        <w:t>puissent exercer librement et sans crainte leur devoir civique en se rendant au bureau de vote et y voter.</w:t>
      </w:r>
    </w:p>
    <w:p w14:paraId="7F8E5366" w14:textId="301AEE62" w:rsidR="00305C54" w:rsidRPr="000F4DFB" w:rsidRDefault="001E1215" w:rsidP="005E30B9">
      <w:pPr>
        <w:pStyle w:val="Paragraphedeliste"/>
        <w:numPr>
          <w:ilvl w:val="0"/>
          <w:numId w:val="21"/>
        </w:numPr>
        <w:ind w:left="426"/>
        <w:jc w:val="both"/>
        <w:rPr>
          <w:b/>
          <w:bCs/>
          <w:sz w:val="24"/>
          <w:szCs w:val="24"/>
        </w:rPr>
      </w:pPr>
      <w:r w:rsidRPr="000F4DFB">
        <w:rPr>
          <w:b/>
          <w:bCs/>
          <w:sz w:val="24"/>
          <w:szCs w:val="24"/>
        </w:rPr>
        <w:t>La question de la participation des personnes déplacées intérieures</w:t>
      </w:r>
      <w:r w:rsidR="006C14F1" w:rsidRPr="000F4DFB">
        <w:rPr>
          <w:b/>
          <w:bCs/>
          <w:sz w:val="24"/>
          <w:szCs w:val="24"/>
        </w:rPr>
        <w:t xml:space="preserve"> : </w:t>
      </w:r>
      <w:r w:rsidR="006C14F1" w:rsidRPr="000F4DFB">
        <w:rPr>
          <w:sz w:val="24"/>
          <w:szCs w:val="24"/>
        </w:rPr>
        <w:t>Les attaques terroristes, les conflits intercommunautaires, les exactions des milices armé</w:t>
      </w:r>
      <w:r w:rsidR="00A85455" w:rsidRPr="000F4DFB">
        <w:rPr>
          <w:sz w:val="24"/>
          <w:szCs w:val="24"/>
        </w:rPr>
        <w:t>e</w:t>
      </w:r>
      <w:r w:rsidR="006C14F1" w:rsidRPr="000F4DFB">
        <w:rPr>
          <w:sz w:val="24"/>
          <w:szCs w:val="24"/>
        </w:rPr>
        <w:t xml:space="preserve">s ont obligé des milliers (voire des centaines de milliers) de maliens à se déplacer et s’installer dans les zones plus sécurisées du pays. </w:t>
      </w:r>
      <w:r w:rsidR="00974A4A" w:rsidRPr="000F4DFB">
        <w:rPr>
          <w:sz w:val="24"/>
          <w:szCs w:val="24"/>
        </w:rPr>
        <w:t xml:space="preserve">Leur déplacement n’enlevant rien à leur citoyenneté, il est important </w:t>
      </w:r>
      <w:r w:rsidR="00F26A75" w:rsidRPr="000F4DFB">
        <w:rPr>
          <w:sz w:val="24"/>
          <w:szCs w:val="24"/>
        </w:rPr>
        <w:t>de porter</w:t>
      </w:r>
      <w:r w:rsidR="00974A4A" w:rsidRPr="000F4DFB">
        <w:rPr>
          <w:sz w:val="24"/>
          <w:szCs w:val="24"/>
        </w:rPr>
        <w:t xml:space="preserve"> une attention particulière </w:t>
      </w:r>
      <w:r w:rsidR="00F26A75" w:rsidRPr="000F4DFB">
        <w:rPr>
          <w:sz w:val="24"/>
          <w:szCs w:val="24"/>
        </w:rPr>
        <w:t>sur</w:t>
      </w:r>
      <w:r w:rsidR="00974A4A" w:rsidRPr="000F4DFB">
        <w:rPr>
          <w:sz w:val="24"/>
          <w:szCs w:val="24"/>
        </w:rPr>
        <w:t xml:space="preserve"> ces personnes déplacées intérieures afin qu’au moment des scrutins, ils puissent exercer leur droit de vote malgré leur situation de déplacement.</w:t>
      </w:r>
    </w:p>
    <w:p w14:paraId="10780FCF" w14:textId="15D9EF13" w:rsidR="000F4DFB" w:rsidRPr="000F4DFB" w:rsidRDefault="001E1215" w:rsidP="000F4DFB">
      <w:pPr>
        <w:pStyle w:val="Paragraphedeliste"/>
        <w:numPr>
          <w:ilvl w:val="0"/>
          <w:numId w:val="21"/>
        </w:numPr>
        <w:ind w:left="426"/>
        <w:jc w:val="both"/>
        <w:rPr>
          <w:b/>
          <w:bCs/>
          <w:sz w:val="24"/>
          <w:szCs w:val="24"/>
        </w:rPr>
      </w:pPr>
      <w:r w:rsidRPr="000F4DFB">
        <w:rPr>
          <w:b/>
          <w:bCs/>
          <w:sz w:val="24"/>
          <w:szCs w:val="24"/>
        </w:rPr>
        <w:t>La question de la participation des réfugiés dans les pays voisins</w:t>
      </w:r>
      <w:r w:rsidR="00974A4A" w:rsidRPr="000F4DFB">
        <w:rPr>
          <w:b/>
          <w:bCs/>
          <w:sz w:val="24"/>
          <w:szCs w:val="24"/>
        </w:rPr>
        <w:t xml:space="preserve"> : </w:t>
      </w:r>
      <w:r w:rsidR="00974A4A" w:rsidRPr="000F4DFB">
        <w:rPr>
          <w:sz w:val="24"/>
          <w:szCs w:val="24"/>
        </w:rPr>
        <w:t>La crise multidimensionnelle</w:t>
      </w:r>
      <w:r w:rsidR="00186434" w:rsidRPr="000F4DFB">
        <w:rPr>
          <w:sz w:val="24"/>
          <w:szCs w:val="24"/>
        </w:rPr>
        <w:t>,</w:t>
      </w:r>
      <w:r w:rsidR="00974A4A" w:rsidRPr="000F4DFB">
        <w:rPr>
          <w:sz w:val="24"/>
          <w:szCs w:val="24"/>
        </w:rPr>
        <w:t xml:space="preserve"> que le Mali traverse depuis 2012</w:t>
      </w:r>
      <w:r w:rsidR="00186434" w:rsidRPr="000F4DFB">
        <w:rPr>
          <w:sz w:val="24"/>
          <w:szCs w:val="24"/>
        </w:rPr>
        <w:t>,</w:t>
      </w:r>
      <w:r w:rsidR="00974A4A" w:rsidRPr="000F4DFB">
        <w:rPr>
          <w:sz w:val="24"/>
          <w:szCs w:val="24"/>
        </w:rPr>
        <w:t xml:space="preserve"> a également amené beaucoup de populations à trouver refuge dans les pays voisins, notamment la Mauritanie, le Niger et le Burkina Faso. Ces réfugiés maliens méritent d’être pris en charge dans le processus électoral</w:t>
      </w:r>
      <w:r w:rsidR="00F26A75" w:rsidRPr="000F4DFB">
        <w:rPr>
          <w:sz w:val="24"/>
          <w:szCs w:val="24"/>
        </w:rPr>
        <w:t>, comme ce fut le cas lors de la présidentielle de 2013,</w:t>
      </w:r>
      <w:r w:rsidR="00974A4A" w:rsidRPr="000F4DFB">
        <w:rPr>
          <w:sz w:val="24"/>
          <w:szCs w:val="24"/>
        </w:rPr>
        <w:t xml:space="preserve"> afin qu’il ne soit porté aucune atteinte à leur droit de vote, malgré leur situation de réfugiés. Les dispositions utiles devront être prise</w:t>
      </w:r>
      <w:r w:rsidR="00705C2E" w:rsidRPr="000F4DFB">
        <w:rPr>
          <w:sz w:val="24"/>
          <w:szCs w:val="24"/>
        </w:rPr>
        <w:t>s</w:t>
      </w:r>
      <w:r w:rsidR="00974A4A" w:rsidRPr="000F4DFB">
        <w:rPr>
          <w:sz w:val="24"/>
          <w:szCs w:val="24"/>
        </w:rPr>
        <w:t xml:space="preserve"> par les autorités maliennes, en collaboration avec les autorités des pays d’accueil, pour trouver les voies et moyens </w:t>
      </w:r>
      <w:r w:rsidR="00F26A75" w:rsidRPr="000F4DFB">
        <w:rPr>
          <w:sz w:val="24"/>
          <w:szCs w:val="24"/>
        </w:rPr>
        <w:t>d’assurer</w:t>
      </w:r>
      <w:r w:rsidR="00974A4A" w:rsidRPr="000F4DFB">
        <w:rPr>
          <w:sz w:val="24"/>
          <w:szCs w:val="24"/>
        </w:rPr>
        <w:t xml:space="preserve"> aux réfugiés maliens </w:t>
      </w:r>
      <w:r w:rsidR="00F26A75" w:rsidRPr="000F4DFB">
        <w:rPr>
          <w:sz w:val="24"/>
          <w:szCs w:val="24"/>
        </w:rPr>
        <w:t>une large participation</w:t>
      </w:r>
      <w:r w:rsidR="00974A4A" w:rsidRPr="000F4DFB">
        <w:rPr>
          <w:sz w:val="24"/>
          <w:szCs w:val="24"/>
        </w:rPr>
        <w:t xml:space="preserve"> aux différents scrutins prévus dans le calendrier électoral</w:t>
      </w:r>
      <w:r w:rsidR="00F26A75" w:rsidRPr="000F4DFB">
        <w:rPr>
          <w:sz w:val="24"/>
          <w:szCs w:val="24"/>
        </w:rPr>
        <w:t xml:space="preserve"> de la Transition</w:t>
      </w:r>
      <w:r w:rsidR="00974A4A" w:rsidRPr="000F4DFB">
        <w:rPr>
          <w:sz w:val="24"/>
          <w:szCs w:val="24"/>
        </w:rPr>
        <w:t>.</w:t>
      </w:r>
    </w:p>
    <w:sectPr w:rsidR="000F4DFB" w:rsidRPr="000F4DFB" w:rsidSect="00ED003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4922B" w14:textId="77777777" w:rsidR="001D1A65" w:rsidRDefault="001D1A65" w:rsidP="001B0538">
      <w:pPr>
        <w:spacing w:after="0" w:line="240" w:lineRule="auto"/>
      </w:pPr>
      <w:r>
        <w:separator/>
      </w:r>
    </w:p>
  </w:endnote>
  <w:endnote w:type="continuationSeparator" w:id="0">
    <w:p w14:paraId="4D36D47E" w14:textId="77777777" w:rsidR="001D1A65" w:rsidRDefault="001D1A65" w:rsidP="001B0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21100"/>
      <w:docPartObj>
        <w:docPartGallery w:val="Page Numbers (Bottom of Page)"/>
        <w:docPartUnique/>
      </w:docPartObj>
    </w:sdtPr>
    <w:sdtEndPr/>
    <w:sdtContent>
      <w:p w14:paraId="2B07B864" w14:textId="4D3AF42B" w:rsidR="0062284C" w:rsidRDefault="0062284C">
        <w:pPr>
          <w:pStyle w:val="Pieddepage"/>
          <w:jc w:val="right"/>
        </w:pPr>
        <w:r>
          <w:fldChar w:fldCharType="begin"/>
        </w:r>
        <w:r>
          <w:instrText>PAGE   \* MERGEFORMAT</w:instrText>
        </w:r>
        <w:r>
          <w:fldChar w:fldCharType="separate"/>
        </w:r>
        <w:r w:rsidR="008056D5">
          <w:rPr>
            <w:noProof/>
          </w:rPr>
          <w:t>5</w:t>
        </w:r>
        <w:r>
          <w:fldChar w:fldCharType="end"/>
        </w:r>
      </w:p>
    </w:sdtContent>
  </w:sdt>
  <w:p w14:paraId="26B215BB" w14:textId="77777777" w:rsidR="0062284C" w:rsidRDefault="006228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40753" w14:textId="77777777" w:rsidR="001D1A65" w:rsidRDefault="001D1A65" w:rsidP="001B0538">
      <w:pPr>
        <w:spacing w:after="0" w:line="240" w:lineRule="auto"/>
      </w:pPr>
      <w:r>
        <w:separator/>
      </w:r>
    </w:p>
  </w:footnote>
  <w:footnote w:type="continuationSeparator" w:id="0">
    <w:p w14:paraId="59409310" w14:textId="77777777" w:rsidR="001D1A65" w:rsidRDefault="001D1A65" w:rsidP="001B0538">
      <w:pPr>
        <w:spacing w:after="0" w:line="240" w:lineRule="auto"/>
      </w:pPr>
      <w:r>
        <w:continuationSeparator/>
      </w:r>
    </w:p>
  </w:footnote>
  <w:footnote w:id="1">
    <w:p w14:paraId="6D70C763" w14:textId="48F567C7" w:rsidR="00F26A75" w:rsidRPr="00F26A75" w:rsidRDefault="00F26A75">
      <w:pPr>
        <w:pStyle w:val="Notedebasdepage"/>
        <w:rPr>
          <w:lang w:val="fr-FR"/>
        </w:rPr>
      </w:pPr>
      <w:r>
        <w:rPr>
          <w:rStyle w:val="Appelnotedebasdep"/>
        </w:rPr>
        <w:footnoteRef/>
      </w:r>
      <w:r w:rsidRPr="00F26A75">
        <w:rPr>
          <w:lang w:val="fr-FR"/>
        </w:rPr>
        <w:t xml:space="preserve"> </w:t>
      </w:r>
      <w:r w:rsidRPr="00B52625">
        <w:rPr>
          <w:sz w:val="18"/>
          <w:szCs w:val="18"/>
          <w:lang w:val="fr-FR"/>
        </w:rPr>
        <w:t>IDEA, Guide sur les facteurs de risque pour les élections dans la région du G5 Sahel : facteurrs externes aux processus électoraux.</w:t>
      </w:r>
    </w:p>
  </w:footnote>
  <w:footnote w:id="2">
    <w:p w14:paraId="7AEB95BE" w14:textId="15DCD1AA" w:rsidR="00110D03" w:rsidRDefault="00110D03" w:rsidP="00990B0B">
      <w:pPr>
        <w:autoSpaceDE w:val="0"/>
        <w:autoSpaceDN w:val="0"/>
        <w:adjustRightInd w:val="0"/>
        <w:spacing w:after="0" w:line="240" w:lineRule="auto"/>
        <w:jc w:val="both"/>
      </w:pPr>
      <w:r>
        <w:rPr>
          <w:rStyle w:val="Appelnotedebasdep"/>
        </w:rPr>
        <w:footnoteRef/>
      </w:r>
      <w:r>
        <w:t xml:space="preserve"> </w:t>
      </w:r>
      <w:r w:rsidRPr="000D4463">
        <w:rPr>
          <w:rFonts w:ascii="Calibri" w:hAnsi="Calibri" w:cs="Calibri"/>
          <w:color w:val="000000"/>
          <w:sz w:val="18"/>
          <w:szCs w:val="18"/>
        </w:rPr>
        <w:t>Etude nationale sur le coût financier des campagnes électorales et des mandats électifs au Mali, réalisée par</w:t>
      </w:r>
      <w:r w:rsidR="0029275E" w:rsidRPr="000D4463">
        <w:rPr>
          <w:rFonts w:ascii="Calibri" w:hAnsi="Calibri" w:cs="Calibri"/>
          <w:color w:val="000000"/>
          <w:sz w:val="18"/>
          <w:szCs w:val="18"/>
        </w:rPr>
        <w:t xml:space="preserve"> le Groupe</w:t>
      </w:r>
      <w:r w:rsidRPr="000D4463">
        <w:rPr>
          <w:rFonts w:ascii="Calibri" w:hAnsi="Calibri" w:cs="Calibri"/>
          <w:color w:val="000000"/>
          <w:sz w:val="18"/>
          <w:szCs w:val="18"/>
        </w:rPr>
        <w:t xml:space="preserve"> ODYSSEE-(</w:t>
      </w:r>
      <w:r w:rsidRPr="000D4463">
        <w:rPr>
          <w:rFonts w:ascii="Calibri" w:hAnsi="Calibri" w:cs="Calibri"/>
          <w:sz w:val="18"/>
          <w:szCs w:val="18"/>
        </w:rPr>
        <w:t xml:space="preserve">Observation des Dynamiques Sociales, Spatiales &amp; Expertise Endogène) </w:t>
      </w:r>
      <w:r w:rsidRPr="000D4463">
        <w:rPr>
          <w:rFonts w:ascii="Calibri" w:hAnsi="Calibri" w:cs="Calibri"/>
          <w:color w:val="000000"/>
          <w:sz w:val="18"/>
          <w:szCs w:val="18"/>
        </w:rPr>
        <w:t>pour le compte de l’</w:t>
      </w:r>
      <w:r w:rsidRPr="000D4463">
        <w:rPr>
          <w:rFonts w:ascii="Calibri" w:hAnsi="Calibri"/>
          <w:sz w:val="18"/>
          <w:szCs w:val="18"/>
        </w:rPr>
        <w:t>Institut Néerlandais pour la Démocratie Multipartite</w:t>
      </w:r>
      <w:r w:rsidRPr="000D4463">
        <w:rPr>
          <w:rFonts w:ascii="Calibri" w:hAnsi="Calibri" w:cs="Calibri"/>
          <w:color w:val="000000"/>
          <w:sz w:val="18"/>
          <w:szCs w:val="18"/>
        </w:rPr>
        <w:t xml:space="preserve"> (NIMD)</w:t>
      </w:r>
    </w:p>
  </w:footnote>
  <w:footnote w:id="3">
    <w:p w14:paraId="0106D058" w14:textId="53642027" w:rsidR="0029275E" w:rsidRPr="000D4463" w:rsidRDefault="0029275E" w:rsidP="00990B0B">
      <w:pPr>
        <w:jc w:val="both"/>
        <w:rPr>
          <w:sz w:val="18"/>
          <w:szCs w:val="18"/>
        </w:rPr>
      </w:pPr>
      <w:r>
        <w:rPr>
          <w:rStyle w:val="Appelnotedebasdep"/>
        </w:rPr>
        <w:footnoteRef/>
      </w:r>
      <w:r>
        <w:t xml:space="preserve"> </w:t>
      </w:r>
      <w:hyperlink r:id="rId1" w:history="1">
        <w:r w:rsidRPr="000D4463">
          <w:rPr>
            <w:rStyle w:val="Lienhypertexte"/>
            <w:sz w:val="18"/>
            <w:szCs w:val="18"/>
          </w:rPr>
          <w:t>https://blogs.mediapart.fr/mamo-cisse/blog/100318/mali-la-politique-de-la-faim-un-repas-une-voix</w:t>
        </w:r>
      </w:hyperlink>
    </w:p>
  </w:footnote>
  <w:footnote w:id="4">
    <w:p w14:paraId="44482E48" w14:textId="1CA5729B" w:rsidR="0029275E" w:rsidRPr="000D4463" w:rsidRDefault="0029275E">
      <w:pPr>
        <w:pStyle w:val="Notedebasdepage"/>
        <w:rPr>
          <w:sz w:val="18"/>
          <w:szCs w:val="18"/>
          <w:lang w:val="fr-FR"/>
        </w:rPr>
      </w:pPr>
      <w:r>
        <w:rPr>
          <w:rStyle w:val="Appelnotedebasdep"/>
        </w:rPr>
        <w:footnoteRef/>
      </w:r>
      <w:r w:rsidRPr="0029275E">
        <w:rPr>
          <w:lang w:val="fr-FR"/>
        </w:rPr>
        <w:t xml:space="preserve"> </w:t>
      </w:r>
      <w:r w:rsidRPr="000D4463">
        <w:rPr>
          <w:sz w:val="18"/>
          <w:szCs w:val="18"/>
          <w:lang w:val="fr-FR"/>
        </w:rPr>
        <w:t xml:space="preserve">Etude sur les dynamiques participatives des partis politiques et des autres acteurs dans les élections communales à Banco, </w:t>
      </w:r>
      <w:r w:rsidR="00F26A75" w:rsidRPr="000D4463">
        <w:rPr>
          <w:sz w:val="18"/>
          <w:szCs w:val="18"/>
          <w:lang w:val="fr-FR"/>
        </w:rPr>
        <w:t>Fana et</w:t>
      </w:r>
      <w:r w:rsidRPr="000D4463">
        <w:rPr>
          <w:sz w:val="18"/>
          <w:szCs w:val="18"/>
          <w:lang w:val="fr-FR"/>
        </w:rPr>
        <w:t xml:space="preserve"> San, réalisée par le Groupe ODYSSEE»</w:t>
      </w:r>
      <w:r w:rsidR="00990B0B" w:rsidRPr="000D4463">
        <w:rPr>
          <w:sz w:val="18"/>
          <w:szCs w:val="18"/>
          <w:lang w:val="fr-FR"/>
        </w:rPr>
        <w:t xml:space="preserve"> (Observation des Dynamiques Sociales, Spatiales &amp; Expertise Endogène)</w:t>
      </w:r>
      <w:r w:rsidRPr="000D4463">
        <w:rPr>
          <w:sz w:val="18"/>
          <w:szCs w:val="18"/>
          <w:lang w:val="fr-FR"/>
        </w:rPr>
        <w:t>.</w:t>
      </w:r>
    </w:p>
  </w:footnote>
  <w:footnote w:id="5">
    <w:p w14:paraId="0E7308DE" w14:textId="10CD1144" w:rsidR="00C175A8" w:rsidRPr="00C175A8" w:rsidRDefault="00C175A8">
      <w:pPr>
        <w:pStyle w:val="Notedebasdepage"/>
        <w:rPr>
          <w:lang w:val="fr-FR"/>
        </w:rPr>
      </w:pPr>
      <w:r>
        <w:rPr>
          <w:rStyle w:val="Appelnotedebasdep"/>
        </w:rPr>
        <w:footnoteRef/>
      </w:r>
      <w:r w:rsidRPr="00110D03">
        <w:rPr>
          <w:lang w:val="fr-FR"/>
        </w:rPr>
        <w:t xml:space="preserve"> </w:t>
      </w:r>
      <w:hyperlink r:id="rId2" w:history="1">
        <w:r w:rsidRPr="00C175A8">
          <w:rPr>
            <w:rStyle w:val="Lienhypertexte"/>
            <w:lang w:val="fr-FR"/>
          </w:rPr>
          <w:t xml:space="preserve"> https://www.sipri.org/commentary/blog/2018/mali-holds-presidential-elections-polls-people-power-incumbents</w:t>
        </w:r>
      </w:hyperlink>
    </w:p>
  </w:footnote>
  <w:footnote w:id="6">
    <w:p w14:paraId="39D28313" w14:textId="19DEBF7B" w:rsidR="00A03598" w:rsidRPr="00A03598" w:rsidRDefault="00A03598" w:rsidP="00A03598">
      <w:pPr>
        <w:pStyle w:val="Notedebasdepage"/>
        <w:rPr>
          <w:color w:val="002060" w:themeColor="text1"/>
          <w:lang w:val="fr-FR"/>
        </w:rPr>
      </w:pPr>
      <w:r>
        <w:rPr>
          <w:rStyle w:val="Appelnotedebasdep"/>
          <w:color w:val="002060" w:themeColor="text1"/>
        </w:rPr>
        <w:footnoteRef/>
      </w:r>
      <w:hyperlink r:id="rId3" w:history="1">
        <w:r w:rsidR="00802949" w:rsidRPr="00644264">
          <w:rPr>
            <w:rStyle w:val="Lienhypertexte"/>
            <w:lang w:val="fr-FR"/>
          </w:rPr>
          <w:t>https://www.sipri.org/commentary/blog/2018/mali-holds-presidential-elections-polls-people-power-incumbents</w:t>
        </w:r>
      </w:hyperlink>
    </w:p>
  </w:footnote>
  <w:footnote w:id="7">
    <w:p w14:paraId="5BFB5042" w14:textId="6245DCB7" w:rsidR="00A03598" w:rsidRPr="00A03598" w:rsidRDefault="00A03598" w:rsidP="00A03598">
      <w:pPr>
        <w:pStyle w:val="Notedebasdepage"/>
        <w:jc w:val="both"/>
        <w:rPr>
          <w:color w:val="002060" w:themeColor="text1"/>
          <w:lang w:val="fr-FR"/>
        </w:rPr>
      </w:pPr>
      <w:r>
        <w:rPr>
          <w:rStyle w:val="Appelnotedebasdep"/>
          <w:color w:val="002060" w:themeColor="text1"/>
        </w:rPr>
        <w:footnoteRef/>
      </w:r>
      <w:r w:rsidRPr="00A03598">
        <w:rPr>
          <w:color w:val="002060" w:themeColor="text1"/>
          <w:lang w:val="fr-FR"/>
        </w:rPr>
        <w:t xml:space="preserve"> </w:t>
      </w:r>
      <w:hyperlink r:id="rId4" w:history="1">
        <w:r w:rsidRPr="00A03598">
          <w:rPr>
            <w:rStyle w:val="Lienhypertexte"/>
            <w:lang w:val="fr-FR"/>
          </w:rPr>
          <w:t>https://freedomhouse.org/report/freedom-world/2019/mali</w:t>
        </w:r>
      </w:hyperlink>
    </w:p>
  </w:footnote>
  <w:footnote w:id="8">
    <w:p w14:paraId="5342E471" w14:textId="77777777" w:rsidR="00A03598" w:rsidRPr="00A03598" w:rsidRDefault="00A03598" w:rsidP="00A03598">
      <w:pPr>
        <w:pStyle w:val="Notedebasdepage"/>
        <w:rPr>
          <w:color w:val="002060" w:themeColor="text1"/>
          <w:lang w:val="fr-FR"/>
        </w:rPr>
      </w:pPr>
      <w:r>
        <w:rPr>
          <w:rStyle w:val="Appelnotedebasdep"/>
          <w:color w:val="002060" w:themeColor="text1"/>
        </w:rPr>
        <w:footnoteRef/>
      </w:r>
      <w:hyperlink r:id="rId5" w:history="1">
        <w:r w:rsidRPr="00A03598">
          <w:rPr>
            <w:rStyle w:val="Lienhypertexte"/>
            <w:lang w:val="fr-FR"/>
          </w:rPr>
          <w:t xml:space="preserve"> https://www.hrw.org/world-report/2019/country-chapters/mali</w:t>
        </w:r>
      </w:hyperlink>
    </w:p>
  </w:footnote>
  <w:footnote w:id="9">
    <w:p w14:paraId="423B5DF4" w14:textId="77777777" w:rsidR="00A03598" w:rsidRPr="00A03598" w:rsidRDefault="00A03598" w:rsidP="00A03598">
      <w:pPr>
        <w:pStyle w:val="Notedebasdepage"/>
        <w:jc w:val="both"/>
        <w:rPr>
          <w:color w:val="002060" w:themeColor="text1"/>
          <w:lang w:val="fr-FR"/>
        </w:rPr>
      </w:pPr>
      <w:r>
        <w:rPr>
          <w:rStyle w:val="Appelnotedebasdep"/>
          <w:color w:val="002060" w:themeColor="text1"/>
        </w:rPr>
        <w:footnoteRef/>
      </w:r>
      <w:hyperlink r:id="rId6" w:history="1">
        <w:r w:rsidRPr="00A03598">
          <w:rPr>
            <w:rStyle w:val="Lienhypertexte"/>
            <w:lang w:val="fr-FR"/>
          </w:rPr>
          <w:t xml:space="preserve"> https://issafrica.org/iss-today/mistrust-taints-malis-polls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2B9810C2"/>
    <w:multiLevelType w:val="hybridMultilevel"/>
    <w:tmpl w:val="0BFE69D4"/>
    <w:lvl w:ilvl="0" w:tplc="1DE67752">
      <w:numFmt w:val="bullet"/>
      <w:lvlText w:val="-"/>
      <w:lvlJc w:val="left"/>
      <w:pPr>
        <w:ind w:left="720" w:hanging="360"/>
      </w:pPr>
      <w:rPr>
        <w:rFonts w:ascii="Calibri" w:eastAsiaTheme="minorEastAsia"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Q2NzcwtzA0sLQwNTVU0lEKTi0uzszPAykwrgUAw+PfpywAAAA="/>
  </w:docVars>
  <w:rsids>
    <w:rsidRoot w:val="00995AE3"/>
    <w:rsid w:val="0009626C"/>
    <w:rsid w:val="000A4AF5"/>
    <w:rsid w:val="000D4463"/>
    <w:rsid w:val="000F4DFB"/>
    <w:rsid w:val="00107B6C"/>
    <w:rsid w:val="00110D03"/>
    <w:rsid w:val="0013368E"/>
    <w:rsid w:val="00166B8D"/>
    <w:rsid w:val="00186434"/>
    <w:rsid w:val="001B0538"/>
    <w:rsid w:val="001D1A65"/>
    <w:rsid w:val="001E1215"/>
    <w:rsid w:val="001E5ADC"/>
    <w:rsid w:val="00203FAD"/>
    <w:rsid w:val="00285C80"/>
    <w:rsid w:val="0029275E"/>
    <w:rsid w:val="002A1F04"/>
    <w:rsid w:val="002F5B8C"/>
    <w:rsid w:val="002F5D60"/>
    <w:rsid w:val="00305C54"/>
    <w:rsid w:val="0033533C"/>
    <w:rsid w:val="003653C2"/>
    <w:rsid w:val="0038777C"/>
    <w:rsid w:val="004C1673"/>
    <w:rsid w:val="004D3940"/>
    <w:rsid w:val="004D509F"/>
    <w:rsid w:val="0051704F"/>
    <w:rsid w:val="0057144B"/>
    <w:rsid w:val="005E30B9"/>
    <w:rsid w:val="00617F04"/>
    <w:rsid w:val="0062284C"/>
    <w:rsid w:val="006403A8"/>
    <w:rsid w:val="006C14F1"/>
    <w:rsid w:val="00705C2E"/>
    <w:rsid w:val="0074391E"/>
    <w:rsid w:val="00750B3A"/>
    <w:rsid w:val="007871C5"/>
    <w:rsid w:val="007A5969"/>
    <w:rsid w:val="00802949"/>
    <w:rsid w:val="008056D5"/>
    <w:rsid w:val="0081416A"/>
    <w:rsid w:val="00834575"/>
    <w:rsid w:val="00932E27"/>
    <w:rsid w:val="00974A4A"/>
    <w:rsid w:val="00990B0B"/>
    <w:rsid w:val="00995AE3"/>
    <w:rsid w:val="00A03598"/>
    <w:rsid w:val="00A85455"/>
    <w:rsid w:val="00B05393"/>
    <w:rsid w:val="00B122AD"/>
    <w:rsid w:val="00B52625"/>
    <w:rsid w:val="00BA0E5A"/>
    <w:rsid w:val="00C175A8"/>
    <w:rsid w:val="00C8409D"/>
    <w:rsid w:val="00C97C34"/>
    <w:rsid w:val="00CC179A"/>
    <w:rsid w:val="00CD3F92"/>
    <w:rsid w:val="00D051E2"/>
    <w:rsid w:val="00DF1E91"/>
    <w:rsid w:val="00DF354F"/>
    <w:rsid w:val="00E54A11"/>
    <w:rsid w:val="00EB53F0"/>
    <w:rsid w:val="00EC71DB"/>
    <w:rsid w:val="00ED0034"/>
    <w:rsid w:val="00F26A75"/>
    <w:rsid w:val="00F810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4912"/>
  <w15:chartTrackingRefBased/>
  <w15:docId w15:val="{6EFC830A-132C-47FE-88EA-16DE2BF7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C80"/>
  </w:style>
  <w:style w:type="paragraph" w:styleId="Titre1">
    <w:name w:val="heading 1"/>
    <w:basedOn w:val="Normal"/>
    <w:next w:val="Normal"/>
    <w:link w:val="Titre1Car"/>
    <w:uiPriority w:val="9"/>
    <w:qFormat/>
    <w:rsid w:val="00285C80"/>
    <w:pPr>
      <w:keepNext/>
      <w:keepLines/>
      <w:numPr>
        <w:numId w:val="20"/>
      </w:numPr>
      <w:pBdr>
        <w:bottom w:val="single" w:sz="4" w:space="1" w:color="0050F0" w:themeColor="text1" w:themeTint="A6"/>
      </w:pBdr>
      <w:spacing w:before="360"/>
      <w:outlineLvl w:val="0"/>
    </w:pPr>
    <w:rPr>
      <w:rFonts w:asciiTheme="majorHAnsi" w:eastAsiaTheme="majorEastAsia" w:hAnsiTheme="majorHAnsi" w:cstheme="majorBidi"/>
      <w:b/>
      <w:bCs/>
      <w:smallCaps/>
      <w:color w:val="002060" w:themeColor="text1"/>
      <w:sz w:val="36"/>
      <w:szCs w:val="36"/>
    </w:rPr>
  </w:style>
  <w:style w:type="paragraph" w:styleId="Titre2">
    <w:name w:val="heading 2"/>
    <w:basedOn w:val="Normal"/>
    <w:next w:val="Normal"/>
    <w:link w:val="Titre2Car"/>
    <w:uiPriority w:val="9"/>
    <w:unhideWhenUsed/>
    <w:qFormat/>
    <w:rsid w:val="00285C80"/>
    <w:pPr>
      <w:keepNext/>
      <w:keepLines/>
      <w:numPr>
        <w:ilvl w:val="1"/>
        <w:numId w:val="20"/>
      </w:numPr>
      <w:spacing w:before="360" w:after="0"/>
      <w:outlineLvl w:val="1"/>
    </w:pPr>
    <w:rPr>
      <w:rFonts w:asciiTheme="majorHAnsi" w:eastAsiaTheme="majorEastAsia" w:hAnsiTheme="majorHAnsi" w:cstheme="majorBidi"/>
      <w:b/>
      <w:bCs/>
      <w:smallCaps/>
      <w:color w:val="002060" w:themeColor="text1"/>
      <w:sz w:val="28"/>
      <w:szCs w:val="28"/>
    </w:rPr>
  </w:style>
  <w:style w:type="paragraph" w:styleId="Titre3">
    <w:name w:val="heading 3"/>
    <w:basedOn w:val="Normal"/>
    <w:next w:val="Normal"/>
    <w:link w:val="Titre3Car"/>
    <w:uiPriority w:val="9"/>
    <w:semiHidden/>
    <w:unhideWhenUsed/>
    <w:qFormat/>
    <w:rsid w:val="00285C80"/>
    <w:pPr>
      <w:keepNext/>
      <w:keepLines/>
      <w:numPr>
        <w:ilvl w:val="2"/>
        <w:numId w:val="20"/>
      </w:numPr>
      <w:spacing w:before="200" w:after="0"/>
      <w:outlineLvl w:val="2"/>
    </w:pPr>
    <w:rPr>
      <w:rFonts w:asciiTheme="majorHAnsi" w:eastAsiaTheme="majorEastAsia" w:hAnsiTheme="majorHAnsi" w:cstheme="majorBidi"/>
      <w:b/>
      <w:bCs/>
      <w:color w:val="002060" w:themeColor="text1"/>
    </w:rPr>
  </w:style>
  <w:style w:type="paragraph" w:styleId="Titre4">
    <w:name w:val="heading 4"/>
    <w:basedOn w:val="Normal"/>
    <w:next w:val="Normal"/>
    <w:link w:val="Titre4Car"/>
    <w:uiPriority w:val="9"/>
    <w:semiHidden/>
    <w:unhideWhenUsed/>
    <w:qFormat/>
    <w:rsid w:val="00285C80"/>
    <w:pPr>
      <w:keepNext/>
      <w:keepLines/>
      <w:numPr>
        <w:ilvl w:val="3"/>
        <w:numId w:val="20"/>
      </w:numPr>
      <w:spacing w:before="200" w:after="0"/>
      <w:outlineLvl w:val="3"/>
    </w:pPr>
    <w:rPr>
      <w:rFonts w:asciiTheme="majorHAnsi" w:eastAsiaTheme="majorEastAsia" w:hAnsiTheme="majorHAnsi" w:cstheme="majorBidi"/>
      <w:b/>
      <w:bCs/>
      <w:i/>
      <w:iCs/>
      <w:color w:val="002060" w:themeColor="text1"/>
    </w:rPr>
  </w:style>
  <w:style w:type="paragraph" w:styleId="Titre5">
    <w:name w:val="heading 5"/>
    <w:basedOn w:val="Normal"/>
    <w:next w:val="Normal"/>
    <w:link w:val="Titre5Car"/>
    <w:uiPriority w:val="9"/>
    <w:semiHidden/>
    <w:unhideWhenUsed/>
    <w:qFormat/>
    <w:rsid w:val="00285C80"/>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Titre6">
    <w:name w:val="heading 6"/>
    <w:basedOn w:val="Normal"/>
    <w:next w:val="Normal"/>
    <w:link w:val="Titre6Car"/>
    <w:uiPriority w:val="9"/>
    <w:semiHidden/>
    <w:unhideWhenUsed/>
    <w:qFormat/>
    <w:rsid w:val="00285C80"/>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Titre7">
    <w:name w:val="heading 7"/>
    <w:basedOn w:val="Normal"/>
    <w:next w:val="Normal"/>
    <w:link w:val="Titre7Car"/>
    <w:uiPriority w:val="9"/>
    <w:semiHidden/>
    <w:unhideWhenUsed/>
    <w:qFormat/>
    <w:rsid w:val="00285C80"/>
    <w:pPr>
      <w:keepNext/>
      <w:keepLines/>
      <w:numPr>
        <w:ilvl w:val="6"/>
        <w:numId w:val="20"/>
      </w:numPr>
      <w:spacing w:before="200" w:after="0"/>
      <w:outlineLvl w:val="6"/>
    </w:pPr>
    <w:rPr>
      <w:rFonts w:asciiTheme="majorHAnsi" w:eastAsiaTheme="majorEastAsia" w:hAnsiTheme="majorHAnsi" w:cstheme="majorBidi"/>
      <w:i/>
      <w:iCs/>
      <w:color w:val="0042C7" w:themeColor="text1" w:themeTint="BF"/>
    </w:rPr>
  </w:style>
  <w:style w:type="paragraph" w:styleId="Titre8">
    <w:name w:val="heading 8"/>
    <w:basedOn w:val="Normal"/>
    <w:next w:val="Normal"/>
    <w:link w:val="Titre8Car"/>
    <w:uiPriority w:val="9"/>
    <w:semiHidden/>
    <w:unhideWhenUsed/>
    <w:qFormat/>
    <w:rsid w:val="00285C80"/>
    <w:pPr>
      <w:keepNext/>
      <w:keepLines/>
      <w:numPr>
        <w:ilvl w:val="7"/>
        <w:numId w:val="20"/>
      </w:numPr>
      <w:spacing w:before="200" w:after="0"/>
      <w:outlineLvl w:val="7"/>
    </w:pPr>
    <w:rPr>
      <w:rFonts w:asciiTheme="majorHAnsi" w:eastAsiaTheme="majorEastAsia" w:hAnsiTheme="majorHAnsi" w:cstheme="majorBidi"/>
      <w:color w:val="0042C7" w:themeColor="text1" w:themeTint="BF"/>
      <w:sz w:val="20"/>
      <w:szCs w:val="20"/>
    </w:rPr>
  </w:style>
  <w:style w:type="paragraph" w:styleId="Titre9">
    <w:name w:val="heading 9"/>
    <w:basedOn w:val="Normal"/>
    <w:next w:val="Normal"/>
    <w:link w:val="Titre9Car"/>
    <w:uiPriority w:val="9"/>
    <w:semiHidden/>
    <w:unhideWhenUsed/>
    <w:qFormat/>
    <w:rsid w:val="00285C80"/>
    <w:pPr>
      <w:keepNext/>
      <w:keepLines/>
      <w:numPr>
        <w:ilvl w:val="8"/>
        <w:numId w:val="20"/>
      </w:numPr>
      <w:spacing w:before="200" w:after="0"/>
      <w:outlineLvl w:val="8"/>
    </w:pPr>
    <w:rPr>
      <w:rFonts w:asciiTheme="majorHAnsi" w:eastAsiaTheme="majorEastAsia" w:hAnsiTheme="majorHAnsi" w:cstheme="majorBidi"/>
      <w:i/>
      <w:iCs/>
      <w:color w:val="0042C7"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5C80"/>
    <w:rPr>
      <w:rFonts w:asciiTheme="majorHAnsi" w:eastAsiaTheme="majorEastAsia" w:hAnsiTheme="majorHAnsi" w:cstheme="majorBidi"/>
      <w:b/>
      <w:bCs/>
      <w:smallCaps/>
      <w:color w:val="002060" w:themeColor="text1"/>
      <w:sz w:val="36"/>
      <w:szCs w:val="36"/>
    </w:rPr>
  </w:style>
  <w:style w:type="character" w:customStyle="1" w:styleId="Titre2Car">
    <w:name w:val="Titre 2 Car"/>
    <w:basedOn w:val="Policepardfaut"/>
    <w:link w:val="Titre2"/>
    <w:uiPriority w:val="9"/>
    <w:rsid w:val="00285C80"/>
    <w:rPr>
      <w:rFonts w:asciiTheme="majorHAnsi" w:eastAsiaTheme="majorEastAsia" w:hAnsiTheme="majorHAnsi" w:cstheme="majorBidi"/>
      <w:b/>
      <w:bCs/>
      <w:smallCaps/>
      <w:color w:val="002060" w:themeColor="text1"/>
      <w:sz w:val="28"/>
      <w:szCs w:val="28"/>
    </w:rPr>
  </w:style>
  <w:style w:type="character" w:customStyle="1" w:styleId="Titre3Car">
    <w:name w:val="Titre 3 Car"/>
    <w:basedOn w:val="Policepardfaut"/>
    <w:link w:val="Titre3"/>
    <w:uiPriority w:val="9"/>
    <w:semiHidden/>
    <w:rsid w:val="00285C80"/>
    <w:rPr>
      <w:rFonts w:asciiTheme="majorHAnsi" w:eastAsiaTheme="majorEastAsia" w:hAnsiTheme="majorHAnsi" w:cstheme="majorBidi"/>
      <w:b/>
      <w:bCs/>
      <w:color w:val="002060" w:themeColor="text1"/>
    </w:rPr>
  </w:style>
  <w:style w:type="character" w:customStyle="1" w:styleId="Titre4Car">
    <w:name w:val="Titre 4 Car"/>
    <w:basedOn w:val="Policepardfaut"/>
    <w:link w:val="Titre4"/>
    <w:uiPriority w:val="9"/>
    <w:semiHidden/>
    <w:rsid w:val="00285C80"/>
    <w:rPr>
      <w:rFonts w:asciiTheme="majorHAnsi" w:eastAsiaTheme="majorEastAsia" w:hAnsiTheme="majorHAnsi" w:cstheme="majorBidi"/>
      <w:b/>
      <w:bCs/>
      <w:i/>
      <w:iCs/>
      <w:color w:val="002060" w:themeColor="text1"/>
    </w:rPr>
  </w:style>
  <w:style w:type="character" w:customStyle="1" w:styleId="Titre5Car">
    <w:name w:val="Titre 5 Car"/>
    <w:basedOn w:val="Policepardfaut"/>
    <w:link w:val="Titre5"/>
    <w:uiPriority w:val="9"/>
    <w:semiHidden/>
    <w:rsid w:val="00285C80"/>
    <w:rPr>
      <w:rFonts w:asciiTheme="majorHAnsi" w:eastAsiaTheme="majorEastAsia" w:hAnsiTheme="majorHAnsi" w:cstheme="majorBidi"/>
      <w:color w:val="323E4F" w:themeColor="text2" w:themeShade="BF"/>
    </w:rPr>
  </w:style>
  <w:style w:type="character" w:customStyle="1" w:styleId="Titre6Car">
    <w:name w:val="Titre 6 Car"/>
    <w:basedOn w:val="Policepardfaut"/>
    <w:link w:val="Titre6"/>
    <w:uiPriority w:val="9"/>
    <w:semiHidden/>
    <w:rsid w:val="00285C80"/>
    <w:rPr>
      <w:rFonts w:asciiTheme="majorHAnsi" w:eastAsiaTheme="majorEastAsia" w:hAnsiTheme="majorHAnsi" w:cstheme="majorBidi"/>
      <w:i/>
      <w:iCs/>
      <w:color w:val="323E4F" w:themeColor="text2" w:themeShade="BF"/>
    </w:rPr>
  </w:style>
  <w:style w:type="character" w:customStyle="1" w:styleId="Titre7Car">
    <w:name w:val="Titre 7 Car"/>
    <w:basedOn w:val="Policepardfaut"/>
    <w:link w:val="Titre7"/>
    <w:uiPriority w:val="9"/>
    <w:semiHidden/>
    <w:rsid w:val="00285C80"/>
    <w:rPr>
      <w:rFonts w:asciiTheme="majorHAnsi" w:eastAsiaTheme="majorEastAsia" w:hAnsiTheme="majorHAnsi" w:cstheme="majorBidi"/>
      <w:i/>
      <w:iCs/>
      <w:color w:val="0042C7" w:themeColor="text1" w:themeTint="BF"/>
    </w:rPr>
  </w:style>
  <w:style w:type="character" w:customStyle="1" w:styleId="Titre8Car">
    <w:name w:val="Titre 8 Car"/>
    <w:basedOn w:val="Policepardfaut"/>
    <w:link w:val="Titre8"/>
    <w:uiPriority w:val="9"/>
    <w:semiHidden/>
    <w:rsid w:val="00285C80"/>
    <w:rPr>
      <w:rFonts w:asciiTheme="majorHAnsi" w:eastAsiaTheme="majorEastAsia" w:hAnsiTheme="majorHAnsi" w:cstheme="majorBidi"/>
      <w:color w:val="0042C7" w:themeColor="text1" w:themeTint="BF"/>
      <w:sz w:val="20"/>
      <w:szCs w:val="20"/>
    </w:rPr>
  </w:style>
  <w:style w:type="character" w:customStyle="1" w:styleId="Titre9Car">
    <w:name w:val="Titre 9 Car"/>
    <w:basedOn w:val="Policepardfaut"/>
    <w:link w:val="Titre9"/>
    <w:uiPriority w:val="9"/>
    <w:semiHidden/>
    <w:rsid w:val="00285C80"/>
    <w:rPr>
      <w:rFonts w:asciiTheme="majorHAnsi" w:eastAsiaTheme="majorEastAsia" w:hAnsiTheme="majorHAnsi" w:cstheme="majorBidi"/>
      <w:i/>
      <w:iCs/>
      <w:color w:val="0042C7" w:themeColor="text1" w:themeTint="BF"/>
      <w:sz w:val="20"/>
      <w:szCs w:val="20"/>
    </w:rPr>
  </w:style>
  <w:style w:type="paragraph" w:styleId="Lgende">
    <w:name w:val="caption"/>
    <w:basedOn w:val="Normal"/>
    <w:next w:val="Normal"/>
    <w:uiPriority w:val="35"/>
    <w:semiHidden/>
    <w:unhideWhenUsed/>
    <w:qFormat/>
    <w:rsid w:val="00285C80"/>
    <w:pPr>
      <w:spacing w:after="200" w:line="240" w:lineRule="auto"/>
    </w:pPr>
    <w:rPr>
      <w:i/>
      <w:iCs/>
      <w:color w:val="44546A" w:themeColor="text2"/>
      <w:sz w:val="18"/>
      <w:szCs w:val="18"/>
    </w:rPr>
  </w:style>
  <w:style w:type="paragraph" w:styleId="Titre">
    <w:name w:val="Title"/>
    <w:basedOn w:val="Normal"/>
    <w:next w:val="Normal"/>
    <w:link w:val="TitreCar"/>
    <w:uiPriority w:val="10"/>
    <w:qFormat/>
    <w:rsid w:val="00285C80"/>
    <w:pPr>
      <w:spacing w:after="0" w:line="240" w:lineRule="auto"/>
      <w:contextualSpacing/>
    </w:pPr>
    <w:rPr>
      <w:rFonts w:asciiTheme="majorHAnsi" w:eastAsiaTheme="majorEastAsia" w:hAnsiTheme="majorHAnsi" w:cstheme="majorBidi"/>
      <w:color w:val="002060" w:themeColor="text1"/>
      <w:sz w:val="56"/>
      <w:szCs w:val="56"/>
    </w:rPr>
  </w:style>
  <w:style w:type="character" w:customStyle="1" w:styleId="TitreCar">
    <w:name w:val="Titre Car"/>
    <w:basedOn w:val="Policepardfaut"/>
    <w:link w:val="Titre"/>
    <w:uiPriority w:val="10"/>
    <w:rsid w:val="00285C80"/>
    <w:rPr>
      <w:rFonts w:asciiTheme="majorHAnsi" w:eastAsiaTheme="majorEastAsia" w:hAnsiTheme="majorHAnsi" w:cstheme="majorBidi"/>
      <w:color w:val="002060" w:themeColor="text1"/>
      <w:sz w:val="56"/>
      <w:szCs w:val="56"/>
    </w:rPr>
  </w:style>
  <w:style w:type="paragraph" w:styleId="Sous-titre">
    <w:name w:val="Subtitle"/>
    <w:basedOn w:val="Normal"/>
    <w:next w:val="Normal"/>
    <w:link w:val="Sous-titreCar"/>
    <w:uiPriority w:val="11"/>
    <w:qFormat/>
    <w:rsid w:val="00285C80"/>
    <w:pPr>
      <w:numPr>
        <w:ilvl w:val="1"/>
      </w:numPr>
    </w:pPr>
    <w:rPr>
      <w:color w:val="0050F2" w:themeColor="text1" w:themeTint="A5"/>
      <w:spacing w:val="10"/>
    </w:rPr>
  </w:style>
  <w:style w:type="character" w:customStyle="1" w:styleId="Sous-titreCar">
    <w:name w:val="Sous-titre Car"/>
    <w:basedOn w:val="Policepardfaut"/>
    <w:link w:val="Sous-titre"/>
    <w:uiPriority w:val="11"/>
    <w:rsid w:val="00285C80"/>
    <w:rPr>
      <w:color w:val="0050F2" w:themeColor="text1" w:themeTint="A5"/>
      <w:spacing w:val="10"/>
    </w:rPr>
  </w:style>
  <w:style w:type="character" w:styleId="lev">
    <w:name w:val="Strong"/>
    <w:basedOn w:val="Policepardfaut"/>
    <w:uiPriority w:val="22"/>
    <w:qFormat/>
    <w:rsid w:val="00285C80"/>
    <w:rPr>
      <w:b/>
      <w:bCs/>
      <w:color w:val="002060" w:themeColor="text1"/>
    </w:rPr>
  </w:style>
  <w:style w:type="character" w:styleId="Accentuation">
    <w:name w:val="Emphasis"/>
    <w:basedOn w:val="Policepardfaut"/>
    <w:uiPriority w:val="20"/>
    <w:qFormat/>
    <w:rsid w:val="00285C80"/>
    <w:rPr>
      <w:i/>
      <w:iCs/>
      <w:color w:val="auto"/>
    </w:rPr>
  </w:style>
  <w:style w:type="paragraph" w:styleId="Sansinterligne">
    <w:name w:val="No Spacing"/>
    <w:uiPriority w:val="1"/>
    <w:qFormat/>
    <w:rsid w:val="00285C80"/>
    <w:pPr>
      <w:spacing w:after="0" w:line="240" w:lineRule="auto"/>
    </w:pPr>
  </w:style>
  <w:style w:type="paragraph" w:styleId="Citation">
    <w:name w:val="Quote"/>
    <w:basedOn w:val="Normal"/>
    <w:next w:val="Normal"/>
    <w:link w:val="CitationCar"/>
    <w:uiPriority w:val="29"/>
    <w:qFormat/>
    <w:rsid w:val="00285C80"/>
    <w:pPr>
      <w:spacing w:before="160"/>
      <w:ind w:left="720" w:right="720"/>
    </w:pPr>
    <w:rPr>
      <w:i/>
      <w:iCs/>
      <w:color w:val="002060" w:themeColor="text1"/>
    </w:rPr>
  </w:style>
  <w:style w:type="character" w:customStyle="1" w:styleId="CitationCar">
    <w:name w:val="Citation Car"/>
    <w:basedOn w:val="Policepardfaut"/>
    <w:link w:val="Citation"/>
    <w:uiPriority w:val="29"/>
    <w:rsid w:val="00285C80"/>
    <w:rPr>
      <w:i/>
      <w:iCs/>
      <w:color w:val="002060" w:themeColor="text1"/>
    </w:rPr>
  </w:style>
  <w:style w:type="paragraph" w:styleId="Citationintense">
    <w:name w:val="Intense Quote"/>
    <w:basedOn w:val="Normal"/>
    <w:next w:val="Normal"/>
    <w:link w:val="CitationintenseCar"/>
    <w:uiPriority w:val="30"/>
    <w:qFormat/>
    <w:rsid w:val="00285C8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2060" w:themeColor="text1"/>
    </w:rPr>
  </w:style>
  <w:style w:type="character" w:customStyle="1" w:styleId="CitationintenseCar">
    <w:name w:val="Citation intense Car"/>
    <w:basedOn w:val="Policepardfaut"/>
    <w:link w:val="Citationintense"/>
    <w:uiPriority w:val="30"/>
    <w:rsid w:val="00285C80"/>
    <w:rPr>
      <w:color w:val="002060" w:themeColor="text1"/>
      <w:shd w:val="clear" w:color="auto" w:fill="F2F2F2" w:themeFill="background1" w:themeFillShade="F2"/>
    </w:rPr>
  </w:style>
  <w:style w:type="character" w:styleId="Emphaseple">
    <w:name w:val="Subtle Emphasis"/>
    <w:basedOn w:val="Policepardfaut"/>
    <w:uiPriority w:val="19"/>
    <w:qFormat/>
    <w:rsid w:val="00285C80"/>
    <w:rPr>
      <w:i/>
      <w:iCs/>
      <w:color w:val="0042C7" w:themeColor="text1" w:themeTint="BF"/>
    </w:rPr>
  </w:style>
  <w:style w:type="character" w:styleId="Emphaseintense">
    <w:name w:val="Intense Emphasis"/>
    <w:basedOn w:val="Policepardfaut"/>
    <w:uiPriority w:val="21"/>
    <w:qFormat/>
    <w:rsid w:val="00285C80"/>
    <w:rPr>
      <w:b/>
      <w:bCs/>
      <w:i/>
      <w:iCs/>
      <w:caps/>
    </w:rPr>
  </w:style>
  <w:style w:type="character" w:styleId="Rfrenceple">
    <w:name w:val="Subtle Reference"/>
    <w:basedOn w:val="Policepardfaut"/>
    <w:uiPriority w:val="31"/>
    <w:qFormat/>
    <w:rsid w:val="00285C80"/>
    <w:rPr>
      <w:smallCaps/>
      <w:color w:val="0042C7" w:themeColor="text1" w:themeTint="BF"/>
      <w:u w:val="single" w:color="2F74FF" w:themeColor="text1" w:themeTint="80"/>
    </w:rPr>
  </w:style>
  <w:style w:type="character" w:styleId="Rfrenceintense">
    <w:name w:val="Intense Reference"/>
    <w:basedOn w:val="Policepardfaut"/>
    <w:uiPriority w:val="32"/>
    <w:qFormat/>
    <w:rsid w:val="00285C80"/>
    <w:rPr>
      <w:b/>
      <w:bCs/>
      <w:smallCaps/>
      <w:u w:val="single"/>
    </w:rPr>
  </w:style>
  <w:style w:type="character" w:styleId="Titredulivre">
    <w:name w:val="Book Title"/>
    <w:basedOn w:val="Policepardfaut"/>
    <w:uiPriority w:val="33"/>
    <w:qFormat/>
    <w:rsid w:val="00285C80"/>
    <w:rPr>
      <w:b w:val="0"/>
      <w:bCs w:val="0"/>
      <w:smallCaps/>
      <w:spacing w:val="5"/>
    </w:rPr>
  </w:style>
  <w:style w:type="paragraph" w:styleId="En-ttedetabledesmatires">
    <w:name w:val="TOC Heading"/>
    <w:basedOn w:val="Titre1"/>
    <w:next w:val="Normal"/>
    <w:uiPriority w:val="39"/>
    <w:semiHidden/>
    <w:unhideWhenUsed/>
    <w:qFormat/>
    <w:rsid w:val="00285C80"/>
    <w:pPr>
      <w:outlineLvl w:val="9"/>
    </w:pPr>
  </w:style>
  <w:style w:type="character" w:styleId="Lienhypertexte">
    <w:name w:val="Hyperlink"/>
    <w:basedOn w:val="Policepardfaut"/>
    <w:uiPriority w:val="99"/>
    <w:unhideWhenUsed/>
    <w:rsid w:val="001B0538"/>
    <w:rPr>
      <w:color w:val="0000FF"/>
      <w:u w:val="single"/>
    </w:rPr>
  </w:style>
  <w:style w:type="paragraph" w:styleId="Notedebasdepage">
    <w:name w:val="footnote text"/>
    <w:basedOn w:val="Normal"/>
    <w:link w:val="NotedebasdepageCar"/>
    <w:uiPriority w:val="99"/>
    <w:semiHidden/>
    <w:unhideWhenUsed/>
    <w:rsid w:val="001B0538"/>
    <w:pPr>
      <w:spacing w:after="0" w:line="240" w:lineRule="auto"/>
    </w:pPr>
    <w:rPr>
      <w:sz w:val="20"/>
      <w:szCs w:val="20"/>
      <w:lang w:val="en-GB"/>
    </w:rPr>
  </w:style>
  <w:style w:type="character" w:customStyle="1" w:styleId="NotedebasdepageCar">
    <w:name w:val="Note de bas de page Car"/>
    <w:basedOn w:val="Policepardfaut"/>
    <w:link w:val="Notedebasdepage"/>
    <w:uiPriority w:val="99"/>
    <w:semiHidden/>
    <w:rsid w:val="001B0538"/>
    <w:rPr>
      <w:sz w:val="20"/>
      <w:szCs w:val="20"/>
      <w:lang w:val="en-GB"/>
    </w:rPr>
  </w:style>
  <w:style w:type="character" w:styleId="Appelnotedebasdep">
    <w:name w:val="footnote reference"/>
    <w:basedOn w:val="Policepardfaut"/>
    <w:uiPriority w:val="99"/>
    <w:semiHidden/>
    <w:unhideWhenUsed/>
    <w:rsid w:val="001B0538"/>
    <w:rPr>
      <w:vertAlign w:val="superscript"/>
    </w:rPr>
  </w:style>
  <w:style w:type="character" w:customStyle="1" w:styleId="UnresolvedMention">
    <w:name w:val="Unresolved Mention"/>
    <w:basedOn w:val="Policepardfaut"/>
    <w:uiPriority w:val="99"/>
    <w:semiHidden/>
    <w:unhideWhenUsed/>
    <w:rsid w:val="00C175A8"/>
    <w:rPr>
      <w:color w:val="605E5C"/>
      <w:shd w:val="clear" w:color="auto" w:fill="E1DFDD"/>
    </w:rPr>
  </w:style>
  <w:style w:type="character" w:styleId="Lienhypertextesuivivisit">
    <w:name w:val="FollowedHyperlink"/>
    <w:basedOn w:val="Policepardfaut"/>
    <w:uiPriority w:val="99"/>
    <w:semiHidden/>
    <w:unhideWhenUsed/>
    <w:rsid w:val="00C175A8"/>
    <w:rPr>
      <w:color w:val="954F72" w:themeColor="followedHyperlink"/>
      <w:u w:val="single"/>
    </w:rPr>
  </w:style>
  <w:style w:type="paragraph" w:styleId="Paragraphedeliste">
    <w:name w:val="List Paragraph"/>
    <w:basedOn w:val="Normal"/>
    <w:uiPriority w:val="34"/>
    <w:qFormat/>
    <w:rsid w:val="005E30B9"/>
    <w:pPr>
      <w:ind w:left="720"/>
      <w:contextualSpacing/>
    </w:pPr>
  </w:style>
  <w:style w:type="paragraph" w:styleId="En-tte">
    <w:name w:val="header"/>
    <w:basedOn w:val="Normal"/>
    <w:link w:val="En-tteCar"/>
    <w:uiPriority w:val="99"/>
    <w:unhideWhenUsed/>
    <w:rsid w:val="0062284C"/>
    <w:pPr>
      <w:tabs>
        <w:tab w:val="center" w:pos="4513"/>
        <w:tab w:val="right" w:pos="9026"/>
      </w:tabs>
      <w:spacing w:after="0" w:line="240" w:lineRule="auto"/>
    </w:pPr>
  </w:style>
  <w:style w:type="character" w:customStyle="1" w:styleId="En-tteCar">
    <w:name w:val="En-tête Car"/>
    <w:basedOn w:val="Policepardfaut"/>
    <w:link w:val="En-tte"/>
    <w:uiPriority w:val="99"/>
    <w:rsid w:val="0062284C"/>
  </w:style>
  <w:style w:type="paragraph" w:styleId="Pieddepage">
    <w:name w:val="footer"/>
    <w:basedOn w:val="Normal"/>
    <w:link w:val="PieddepageCar"/>
    <w:uiPriority w:val="99"/>
    <w:unhideWhenUsed/>
    <w:rsid w:val="0062284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22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1199">
      <w:bodyDiv w:val="1"/>
      <w:marLeft w:val="0"/>
      <w:marRight w:val="0"/>
      <w:marTop w:val="0"/>
      <w:marBottom w:val="0"/>
      <w:divBdr>
        <w:top w:val="none" w:sz="0" w:space="0" w:color="auto"/>
        <w:left w:val="none" w:sz="0" w:space="0" w:color="auto"/>
        <w:bottom w:val="none" w:sz="0" w:space="0" w:color="auto"/>
        <w:right w:val="none" w:sz="0" w:space="0" w:color="auto"/>
      </w:divBdr>
    </w:div>
    <w:div w:id="615333703">
      <w:bodyDiv w:val="1"/>
      <w:marLeft w:val="0"/>
      <w:marRight w:val="0"/>
      <w:marTop w:val="0"/>
      <w:marBottom w:val="0"/>
      <w:divBdr>
        <w:top w:val="none" w:sz="0" w:space="0" w:color="auto"/>
        <w:left w:val="none" w:sz="0" w:space="0" w:color="auto"/>
        <w:bottom w:val="none" w:sz="0" w:space="0" w:color="auto"/>
        <w:right w:val="none" w:sz="0" w:space="0" w:color="auto"/>
      </w:divBdr>
    </w:div>
    <w:div w:id="818691247">
      <w:bodyDiv w:val="1"/>
      <w:marLeft w:val="0"/>
      <w:marRight w:val="0"/>
      <w:marTop w:val="0"/>
      <w:marBottom w:val="0"/>
      <w:divBdr>
        <w:top w:val="none" w:sz="0" w:space="0" w:color="auto"/>
        <w:left w:val="none" w:sz="0" w:space="0" w:color="auto"/>
        <w:bottom w:val="none" w:sz="0" w:space="0" w:color="auto"/>
        <w:right w:val="none" w:sz="0" w:space="0" w:color="auto"/>
      </w:divBdr>
    </w:div>
    <w:div w:id="1150827014">
      <w:bodyDiv w:val="1"/>
      <w:marLeft w:val="0"/>
      <w:marRight w:val="0"/>
      <w:marTop w:val="0"/>
      <w:marBottom w:val="0"/>
      <w:divBdr>
        <w:top w:val="none" w:sz="0" w:space="0" w:color="auto"/>
        <w:left w:val="none" w:sz="0" w:space="0" w:color="auto"/>
        <w:bottom w:val="none" w:sz="0" w:space="0" w:color="auto"/>
        <w:right w:val="none" w:sz="0" w:space="0" w:color="auto"/>
      </w:divBdr>
    </w:div>
    <w:div w:id="1330672849">
      <w:bodyDiv w:val="1"/>
      <w:marLeft w:val="0"/>
      <w:marRight w:val="0"/>
      <w:marTop w:val="0"/>
      <w:marBottom w:val="0"/>
      <w:divBdr>
        <w:top w:val="none" w:sz="0" w:space="0" w:color="auto"/>
        <w:left w:val="none" w:sz="0" w:space="0" w:color="auto"/>
        <w:bottom w:val="none" w:sz="0" w:space="0" w:color="auto"/>
        <w:right w:val="none" w:sz="0" w:space="0" w:color="auto"/>
      </w:divBdr>
    </w:div>
    <w:div w:id="1538203305">
      <w:bodyDiv w:val="1"/>
      <w:marLeft w:val="0"/>
      <w:marRight w:val="0"/>
      <w:marTop w:val="0"/>
      <w:marBottom w:val="0"/>
      <w:divBdr>
        <w:top w:val="none" w:sz="0" w:space="0" w:color="auto"/>
        <w:left w:val="none" w:sz="0" w:space="0" w:color="auto"/>
        <w:bottom w:val="none" w:sz="0" w:space="0" w:color="auto"/>
        <w:right w:val="none" w:sz="0" w:space="0" w:color="auto"/>
      </w:divBdr>
    </w:div>
    <w:div w:id="178738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image" Target="cid:CCE837B2-7DDC-4802-B7F7-635B184A3EF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ipri.org/commentary/blog/2018/mali-holds-presidential-elections-polls-people-power-incumbents" TargetMode="External"/><Relationship Id="rId2" Type="http://schemas.openxmlformats.org/officeDocument/2006/relationships/hyperlink" Target="https://www.sipri.org/commentary/blog/2018/mali-holds-presidential-elections-polls-people-power-incumbents" TargetMode="External"/><Relationship Id="rId1" Type="http://schemas.openxmlformats.org/officeDocument/2006/relationships/hyperlink" Target="https://blogs.mediapart.fr/mamo-cisse/blog/100318/mali-la-politique-de-la-faim-un-repas-une-voix" TargetMode="External"/><Relationship Id="rId6" Type="http://schemas.openxmlformats.org/officeDocument/2006/relationships/hyperlink" Target="https://issafrica.org/iss-today/mistrust-taints-malis-polls" TargetMode="External"/><Relationship Id="rId5" Type="http://schemas.openxmlformats.org/officeDocument/2006/relationships/hyperlink" Target="https://www.hrw.org/world-report/2019/country-chapters/mali" TargetMode="External"/><Relationship Id="rId4" Type="http://schemas.openxmlformats.org/officeDocument/2006/relationships/hyperlink" Target="https://freedomhouse.org/report/freedom-world/2019/mali" TargetMode="External"/></Relationships>
</file>

<file path=word/theme/theme1.xml><?xml version="1.0" encoding="utf-8"?>
<a:theme xmlns:a="http://schemas.openxmlformats.org/drawingml/2006/main" name="Thème Office">
  <a:themeElements>
    <a:clrScheme name="Personnalisé 2">
      <a:dk1>
        <a:srgbClr val="00206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AB3E2-B7F9-47FC-8AA7-6B2C99BD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1756</Words>
  <Characters>9662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Amagoin</dc:creator>
  <cp:keywords/>
  <dc:description/>
  <cp:lastModifiedBy>HP</cp:lastModifiedBy>
  <cp:revision>2</cp:revision>
  <cp:lastPrinted>2023-02-21T07:36:00Z</cp:lastPrinted>
  <dcterms:created xsi:type="dcterms:W3CDTF">2023-03-05T23:03:00Z</dcterms:created>
  <dcterms:modified xsi:type="dcterms:W3CDTF">2023-03-05T23:03:00Z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87c525755e6e9b4c50425043b1a7c53aac8788a5f8328880458e96574d764054</vt:lpwstr>
  </property>
</Properties>
</file>